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420"/>
        <w:jc w:val="center"/>
        <w:rPr>
          <w:rFonts w:ascii="仿宋" w:hAnsi="仿宋" w:eastAsia="仿宋" w:cs="仿宋"/>
          <w:b/>
          <w:bCs/>
          <w:color w:val="424242"/>
          <w:kern w:val="3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2019级拟报名上海市插班生考试学生</w:t>
      </w:r>
      <w:r>
        <w:rPr>
          <w:rFonts w:hint="eastAsia" w:ascii="仿宋" w:hAnsi="仿宋" w:eastAsia="仿宋" w:cs="仿宋"/>
          <w:b/>
          <w:bCs/>
          <w:color w:val="424242"/>
          <w:kern w:val="36"/>
          <w:sz w:val="28"/>
          <w:szCs w:val="28"/>
        </w:rPr>
        <w:t>补（缓）考方案</w:t>
      </w:r>
    </w:p>
    <w:p>
      <w:pPr>
        <w:widowControl/>
        <w:shd w:val="clear" w:color="auto" w:fill="FDFDFD"/>
        <w:jc w:val="left"/>
        <w:rPr>
          <w:rFonts w:ascii="仿宋" w:hAnsi="仿宋" w:eastAsia="仿宋" w:cs="仿宋"/>
          <w:vanish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A+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A-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DFDFD"/>
        <w:jc w:val="left"/>
        <w:rPr>
          <w:rFonts w:ascii="仿宋" w:hAnsi="仿宋" w:eastAsia="仿宋" w:cs="仿宋"/>
          <w:vanish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夜晚模式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</w:p>
    <w:p>
      <w:pPr>
        <w:widowControl/>
        <w:ind w:firstLine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一、考试安排：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考试时间：2020年6月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-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00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考试形式：在线考试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考试平台：腾讯会议</w:t>
      </w:r>
    </w:p>
    <w:p>
      <w:pPr>
        <w:widowControl/>
        <w:ind w:left="480" w:firstLine="419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会议号将在考前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1</w:t>
      </w:r>
      <w:r>
        <w:rPr>
          <w:rFonts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小时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>邮件告知，请学生注意查收邮箱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none"/>
          <w:u w:val="single"/>
        </w:rPr>
        <w:t>。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会议开启后将全程录屏。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试题发布：考前10分钟，加密试题通过教务处邮箱</w:t>
      </w:r>
      <w:r>
        <w:fldChar w:fldCharType="begin"/>
      </w:r>
      <w:r>
        <w:instrText xml:space="preserve"> HYPERLINK "mailto:jwc@shou.edu.cn" </w:instrText>
      </w:r>
      <w:r>
        <w:fldChar w:fldCharType="separate"/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t>jwc@shou.edu.cn</w:t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t>发布，请学生注意查收邮箱；试题密码开考时通过腾讯会议告知。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答案提交：考试结束，学生即刻拍照发送至教务处邮箱jwc@shou.edu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cn，并在腾讯会议中告知监考教师，监考教师同意后方可离场。</w:t>
      </w:r>
    </w:p>
    <w:p>
      <w:pPr>
        <w:widowControl/>
        <w:ind w:left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二、考试要求：</w:t>
      </w:r>
    </w:p>
    <w:p>
      <w:pPr>
        <w:widowControl/>
        <w:ind w:firstLine="48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1.考生准备A4大小的空白纸、黑色水笔等考试文具和可上网电脑（或手机）一台，带摄像头手机一部，提前调试好网络和电子设备，保证网络畅通、音视频传输正常。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yellow"/>
        </w:rPr>
        <w:t>考生可在白纸上事先书写好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答卷卷头与承诺书。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.考试开始前30分钟，考生须凭有效证件实名进入腾讯会议平台，打开手机摄像头，并将手机放置于身体右侧偏后方，手持照片清晰的有效证件（身份证、学生证或校园一卡通）在脸部下方，面对摄像头，由监考教师确认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视频监控摄像头画面内必须能看到考生侧颜、手部及电脑屏幕。视频监控的电子设备要全程开启语音，严禁静音。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3.考试开始，教务处发布试卷密码，考生开始在空白纸上答题，考试过程中严禁对考试题目截屏和传播。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4.考试开始后，考生迟到或无故不参加线上考核，则按缺考处理，返校后也不能参加该课程的补考。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5.考试期间，考生不得接打手机及进行考试不相关的行为。如考生有与考试不相关行为，第一次监考老师进行警告，第二次终止考试。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6.考试过程中严禁离开视频监控视野，否则按缺考处理。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7.考生须全程关闭用于答题的电子设备上的微信、QQ、TeamViewer等聊天录屏远程软件。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8.手写答卷时，考生须使用单面手写答卷，并在卷头写明：学年学期、考试日期、课程名称、姓名、学号、班级；答卷如有多页，应在答卷下方书写“第X页，共X页”，每张答卷上均需签名。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9.考试结束时，考生应立即停止做答，将答卷拍照发送至教务处邮箱</w:t>
      </w:r>
      <w:r>
        <w:fldChar w:fldCharType="begin"/>
      </w:r>
      <w:r>
        <w:instrText xml:space="preserve"> HYPERLINK "mailto:jwc@shou.edu.cn" </w:instrText>
      </w:r>
      <w:r>
        <w:fldChar w:fldCharType="separate"/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jwc@shou.edu.cn</w:t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邮件主题：学号+姓名+课程名</w:t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答卷照片须清晰，照片以“学号+姓名+课程名”命名；若答卷照片有多张，则按试题顺序以“学号+姓名+课程名+第X张/共X张”命名。纸质答卷由学生自己保存，返校后交至教务处（学生事务中心209室）。</w:t>
      </w:r>
    </w:p>
    <w:p>
      <w:pPr>
        <w:widowControl/>
        <w:ind w:firstLine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三、考生与课程清单：</w:t>
      </w:r>
    </w:p>
    <w:tbl>
      <w:tblPr>
        <w:tblStyle w:val="5"/>
        <w:tblW w:w="87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54"/>
        <w:gridCol w:w="588"/>
        <w:gridCol w:w="1553"/>
        <w:gridCol w:w="523"/>
        <w:gridCol w:w="1536"/>
        <w:gridCol w:w="1008"/>
        <w:gridCol w:w="780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课程号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课序号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课程名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考生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7405541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英语(Ⅰ)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闭卷笔试+听力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1929129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自配耳机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1101456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高等数学C(1)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1940115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8101001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政治学原理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开卷笔试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1963121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1102121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1931410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1102121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1931621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1103414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数学分析I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1957103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缓考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1101454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高等数学B(1)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1932414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7405223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基础日语（一）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1962324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7903721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1943250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7405410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英美报刊选读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1929135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4602408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现代工程图学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1931417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5201041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作业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1940138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无需参加线上考试，6月17日前将作业提交至任课老师邮箱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5204210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程序设计基础I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机考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1951235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5204210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程序设计基础I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机考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1959125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9900003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  <w:bookmarkStart w:id="0" w:name="_GoBack"/>
            <w:bookmarkEnd w:id="0"/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高等数学（1）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1992136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补考时间方式由爱恩学院确定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9933901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程序设计语言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1991328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1992321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1992339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1992102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8101001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政治学原理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开卷笔试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1963306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ind w:right="630"/>
        <w:jc w:val="righ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教务处</w:t>
      </w:r>
    </w:p>
    <w:p>
      <w:pPr>
        <w:jc w:val="righ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2020年6月1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5B2"/>
    <w:multiLevelType w:val="multilevel"/>
    <w:tmpl w:val="0E8775B2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B2094"/>
    <w:rsid w:val="0019085D"/>
    <w:rsid w:val="003B2C4D"/>
    <w:rsid w:val="00852FFB"/>
    <w:rsid w:val="09FB2094"/>
    <w:rsid w:val="0FB5227A"/>
    <w:rsid w:val="24A27B9B"/>
    <w:rsid w:val="29A160CF"/>
    <w:rsid w:val="2FD30352"/>
    <w:rsid w:val="49DA2BC2"/>
    <w:rsid w:val="4FD55BF6"/>
    <w:rsid w:val="65E90DF5"/>
    <w:rsid w:val="763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3894C1"/>
      <w:u w:val="none"/>
    </w:rPr>
  </w:style>
  <w:style w:type="character" w:styleId="8">
    <w:name w:val="Hyperlink"/>
    <w:basedOn w:val="6"/>
    <w:uiPriority w:val="0"/>
    <w:rPr>
      <w:color w:val="3894C1"/>
      <w:u w:val="none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1767</Characters>
  <Lines>14</Lines>
  <Paragraphs>4</Paragraphs>
  <TotalTime>0</TotalTime>
  <ScaleCrop>false</ScaleCrop>
  <LinksUpToDate>false</LinksUpToDate>
  <CharactersWithSpaces>2073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2020-06-12T11:09:00Z</dcterms:created>
  <dc:creator>sls</dc:creator>
  <cp:lastModifiedBy>dell</cp:lastModifiedBy>
  <dcterms:modified xsi:type="dcterms:W3CDTF">2020-06-16T07:05:39Z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