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left"/>
        <w:textAlignment w:val="auto"/>
        <w:rPr>
          <w:rFonts w:hint="eastAsia" w:ascii="仿宋_GB2312" w:hAnsi="Calibri" w:eastAsia="仿宋_GB2312" w:cs="宋体"/>
          <w:b/>
          <w:bCs/>
          <w:sz w:val="28"/>
          <w:szCs w:val="32"/>
          <w:lang w:val="en-US" w:eastAsia="zh-Hans"/>
        </w:rPr>
      </w:pPr>
      <w:r>
        <w:rPr>
          <w:rFonts w:hint="eastAsia" w:ascii="仿宋_GB2312" w:hAnsi="Calibri" w:eastAsia="仿宋_GB2312" w:cs="宋体"/>
          <w:b/>
          <w:bCs/>
          <w:sz w:val="28"/>
          <w:szCs w:val="32"/>
          <w:lang w:val="en-US" w:eastAsia="zh-CN"/>
        </w:rPr>
        <w:t>附件</w:t>
      </w:r>
      <w:r>
        <w:rPr>
          <w:rFonts w:hint="default" w:ascii="仿宋_GB2312" w:hAnsi="Calibri" w:eastAsia="仿宋_GB2312" w:cs="宋体"/>
          <w:b/>
          <w:bCs/>
          <w:sz w:val="28"/>
          <w:szCs w:val="32"/>
          <w:lang w:eastAsia="zh-CN"/>
        </w:rPr>
        <w:t xml:space="preserve">1 </w:t>
      </w:r>
      <w:r>
        <w:rPr>
          <w:rFonts w:hint="eastAsia" w:ascii="仿宋_GB2312" w:hAnsi="Calibri" w:eastAsia="仿宋_GB2312" w:cs="宋体"/>
          <w:b/>
          <w:bCs/>
          <w:sz w:val="28"/>
          <w:szCs w:val="32"/>
          <w:lang w:val="en-US" w:eastAsia="zh-Hans"/>
        </w:rPr>
        <w:t>联合国日内瓦总部实地交流项目</w:t>
      </w:r>
      <w:r>
        <w:rPr>
          <w:rFonts w:hint="eastAsia" w:ascii="仿宋_GB2312" w:eastAsia="仿宋_GB2312" w:cs="宋体"/>
          <w:b/>
          <w:bCs/>
          <w:sz w:val="28"/>
          <w:szCs w:val="32"/>
          <w:lang w:val="en-US" w:eastAsia="zh-Hans"/>
        </w:rPr>
        <w:t>行程安排</w:t>
      </w:r>
    </w:p>
    <w:tbl>
      <w:tblPr>
        <w:tblStyle w:val="3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5647"/>
      </w:tblGrid>
      <w:tr>
        <w:tc>
          <w:tcPr>
            <w:tcW w:w="85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18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先导课</w:t>
            </w:r>
            <w:r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2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线上形式</w:t>
            </w:r>
            <w:r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22"/>
                <w:szCs w:val="22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c>
          <w:tcPr>
            <w:tcW w:w="2805" w:type="dxa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712" w:type="dxa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课程内容</w:t>
            </w:r>
          </w:p>
        </w:tc>
      </w:tr>
      <w:tr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18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00 Zoom</w:t>
            </w: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会议室</w:t>
            </w:r>
          </w:p>
        </w:tc>
        <w:tc>
          <w:tcPr>
            <w:tcW w:w="5712" w:type="dxa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欢迎仪式：项目</w:t>
            </w:r>
            <w:r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介绍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、日程安排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注意事项 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破冰环节：队员自我</w:t>
            </w:r>
            <w:r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介绍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 xml:space="preserve">了解联合国：联合国使命及组织构架 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18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 SC" w:hAnsi="PingFang SC" w:eastAsia="PingFang SC" w:cs="PingFang SC"/>
                <w:b w:val="0"/>
                <w:bCs w:val="0"/>
                <w:i/>
                <w:i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b w:val="0"/>
                <w:bCs w:val="0"/>
                <w:i/>
                <w:i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-WFUNA官员</w:t>
            </w:r>
          </w:p>
        </w:tc>
      </w:tr>
      <w:tr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PingFang SC Regular" w:cs="宋体"/>
                <w:b w:val="0"/>
                <w:bCs w:val="0"/>
                <w:color w:val="000000" w:themeColor="text1"/>
                <w:sz w:val="18"/>
                <w:szCs w:val="20"/>
                <w:highlight w:val="none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00 Zoom</w:t>
            </w: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会议室</w:t>
            </w:r>
          </w:p>
        </w:tc>
        <w:tc>
          <w:tcPr>
            <w:tcW w:w="5712" w:type="dxa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·2015-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2030年可持续发展议程 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联合国可持续发展目标研讨会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学术写作指导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18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 SC" w:hAnsi="PingFang SC" w:eastAsia="PingFang SC" w:cs="PingFang SC"/>
                <w:b w:val="0"/>
                <w:bCs w:val="0"/>
                <w:i/>
                <w:iCs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i/>
                <w:iCs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-WFUNA官员</w:t>
            </w:r>
          </w:p>
        </w:tc>
      </w:tr>
      <w:tr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20"/>
                <w:highlight w:val="none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00 Zoom</w:t>
            </w: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会议室</w:t>
            </w:r>
          </w:p>
        </w:tc>
        <w:tc>
          <w:tcPr>
            <w:tcW w:w="5712" w:type="dxa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学术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写作指导</w:t>
            </w:r>
            <w:r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答疑 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行前说明会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18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 SC" w:hAnsi="PingFang SC" w:eastAsia="PingFang SC" w:cs="PingFang SC"/>
                <w:b w:val="0"/>
                <w:bCs w:val="0"/>
                <w:i/>
                <w:iCs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i/>
                <w:iCs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-UNTP组委会</w:t>
            </w:r>
          </w:p>
        </w:tc>
      </w:tr>
      <w:tr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00 Zoom</w:t>
            </w: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会议室</w:t>
            </w:r>
          </w:p>
        </w:tc>
        <w:tc>
          <w:tcPr>
            <w:tcW w:w="5712" w:type="dxa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“讲解</w:t>
            </w:r>
            <w:r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‘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绿色地球</w:t>
            </w:r>
            <w:r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”主题模拟联合国大会规则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学习联合会议制度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学习撰写开场发言 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学习撰写</w:t>
            </w:r>
            <w:r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会议修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正案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 SC" w:hAnsi="PingFang SC" w:eastAsia="PingFang SC" w:cs="PingFang SC"/>
                <w:b w:val="0"/>
                <w:bCs w:val="0"/>
                <w:i/>
                <w:iCs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default" w:ascii="PingFang SC" w:hAnsi="PingFang SC" w:eastAsia="PingFang SC" w:cs="PingFang SC"/>
                <w:b w:val="0"/>
                <w:bCs w:val="0"/>
                <w:i/>
                <w:iCs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-WFUNA官员 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宋体" w:hAnsi="宋体" w:cs="宋体"/>
          <w:b w:val="0"/>
          <w:bCs w:val="0"/>
          <w:color w:val="000000" w:themeColor="text1"/>
          <w:sz w:val="18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text" w:horzAnchor="page" w:tblpX="1736" w:tblpY="282"/>
        <w:tblOverlap w:val="never"/>
        <w:tblW w:w="50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4"/>
        <w:gridCol w:w="3456"/>
        <w:gridCol w:w="3823"/>
      </w:tblGrid>
      <w:tr>
        <w:trPr>
          <w:trHeight w:val="371" w:hRule="atLeast"/>
        </w:trPr>
        <w:tc>
          <w:tcPr>
            <w:tcW w:w="8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PingFang SC Regular" w:hAnsi="PingFang SC Regular" w:eastAsia="PingFang SC Regular" w:cs="PingFang SC Regular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实地交流</w:t>
            </w: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瑞士日内瓦</w:t>
            </w: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洛桑</w:t>
            </w: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、蒙特勒</w:t>
            </w:r>
          </w:p>
        </w:tc>
      </w:tr>
      <w:tr>
        <w:trPr>
          <w:trHeight w:val="305" w:hRule="atLeast"/>
        </w:trPr>
        <w:tc>
          <w:tcPr>
            <w:tcW w:w="12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行程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</w:tr>
      <w:tr>
        <w:trPr>
          <w:trHeight w:val="846" w:hRule="atLeast"/>
        </w:trPr>
        <w:tc>
          <w:tcPr>
            <w:tcW w:w="12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at.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飞行日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国内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机场集合或自行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日内瓦酒店集合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·抵达日内瓦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·入住酒店休息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·欢迎晚宴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破冰活动</w:t>
            </w:r>
          </w:p>
        </w:tc>
      </w:tr>
      <w:tr>
        <w:trPr>
          <w:trHeight w:val="1965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un.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团队建设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项目启动会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·队员分组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·联合国使命与组织架构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调研参访 | “万国宫”广场&amp;断椅雕塑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·联合国万国宫广场&amp;断椅雕塑</w:t>
            </w: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象征着渥太华条约——“铭记地雷受害者的困境，并鼓励各国承诺禁止集束弹药”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调研参访 | 日内瓦老城区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·探访日内瓦老城区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·日内瓦湖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·英国花园&amp;花钟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·圣彼埃尔大教堂，登顶俯瞰整个日内瓦的风采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·堡垒公园&amp;宗教改革墙</w:t>
            </w:r>
          </w:p>
        </w:tc>
      </w:tr>
      <w:tr>
        <w:trPr>
          <w:trHeight w:val="262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Mon.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多边主义与外交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每人</w:t>
            </w: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办理联合国访问胸卡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-Registration&amp;UN Badge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能力提升 | 全球公民研讨会：who are we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了解全球公民理念，探讨在新的世界秩序中，全球公民身份如何推动决策过程民主化，全球公民如何推动可持续发展目标不断实现。 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-WFUNA官员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调研参访 | 联合国万国宫会议厅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大会堂、理事会会议厅、图书馆、人权和不同文明联盟会议室等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-联合国访客事务部现任官员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外交磋商 | 多边外交原则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多边外交的历史与当代外交进程、全球治理实践与变革。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-WFUNA官员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外交参访 | 中国/瑞士常驻联合国日内瓦代表团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深度了解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国家间、国家与非国家行为体的谈判协商，体会外交妥协的艺术，感知国际政治的格局变化、大国均势与世界秩序，不断深化对于疫情下外交新模式的认识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-代表团现任外交官</w:t>
            </w:r>
          </w:p>
        </w:tc>
      </w:tr>
      <w:tr>
        <w:trPr>
          <w:trHeight w:val="1128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Tue</w:t>
            </w: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8"/>
                <w:szCs w:val="18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人道主义事务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互动培训 | 联合国妇女署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·联合国妇女署领导并协调联合国在性别平等方面的工作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·后疫情时代面临的机遇与挑战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UN Women现任官员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外交参访 | 世界卫生组织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COVID-19后疫情时期WHO的发展趋势，如何建立更好的世界卫生体系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如何在全球范围内持续监测卫生状况，评估健康趋势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-WHO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官员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外交参访 | 联合国儿童基金会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帮助其实现潜能</w:t>
            </w: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如何帮助欠发达地区儿童及青少年摆脱心理健康问题，提升社会心理福祉</w:t>
            </w: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如何解决城乡之间、地域之间、群体之间以及各类儿童基本服务之间存在的不公平问题。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-UNICEF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官员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外交参访 | 联合国难民署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联合国</w:t>
            </w: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难民署的重要使命：保护六千五百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余万名流离失所者。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·为援助流离失所者和无国籍者，联 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合国难民署需如何展开工作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-UNHCR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官员</w:t>
            </w:r>
          </w:p>
        </w:tc>
      </w:tr>
      <w:tr>
        <w:trPr>
          <w:trHeight w:val="1423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ed.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互动培训 | 联合国贸发会议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后疫情时代发展中国家的经贸发展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·在环境问题日益严重的今天，气候变化如何影响发展中国家贸易条件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如何推动发展中国家和发达国家在国际经济、贸易领域的重要问题谈判的进展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-UNCTAD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官员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外交参访 | 世界贸易组织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如何加强政府间组织协作和合作，以恢复世界经济的确定性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·成员国之间贸易纠纷处理机制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在全球范围内，如何恢复受疫情影响最严重的服务与贸易部门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-WTO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官员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分组指导结业演讲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 Semibold" w:hAnsi="PingFang SC Semibold" w:eastAsia="PingFang SC Semibold" w:cs="PingFang SC Semibold"/>
                <w:b/>
                <w:bCs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-WFUNA官员 </w:t>
            </w:r>
          </w:p>
        </w:tc>
      </w:tr>
      <w:tr>
        <w:trPr>
          <w:trHeight w:val="2518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hur.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可持续发展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外交磋商</w:t>
            </w:r>
            <w:r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｜</w:t>
            </w: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“绿色地球”模拟外交磋商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实地模拟联合国会议，扮演国家代表外交官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学习国际会议议事规则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如何在国际会议中的公开发言？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如何修改会议决议？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磋商过程中怎样与它国代表求同存异？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决议文件如何生成？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 Semibold" w:hAnsi="PingFang SC Semibold" w:eastAsia="PingFang SC Semibold" w:cs="PingFang SC Semibold"/>
                <w:b/>
                <w:bCs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-WFUNA官员 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外交参访 | 国际电信联盟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世界电信标准化进程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通信技术的影响与发现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如何保持和发展国际合作，促进各种电信业务的研发和合理使用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ITU现任官员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联合国知识分组对抗赛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The UN Quiz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 Semibold" w:hAnsi="PingFang SC Semibold" w:eastAsia="PingFang SC Semibold" w:cs="PingFang SC Semibold"/>
                <w:b/>
                <w:bCs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-WFUNA官员 </w:t>
            </w:r>
          </w:p>
        </w:tc>
      </w:tr>
      <w:tr>
        <w:trPr>
          <w:trHeight w:val="1177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ri.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职业发展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联合国实习、就业与职业发展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联合国职员选拔标准及所需职业技能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联合国岗位应聘流程及技巧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跨文化人际交往与合作能力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简历及求职信的写作/面试技巧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利用过往经历和“软技能”的提升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联合国人力资源部现任官员、实习生和青年专业人员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结业演讲及学习成果展示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项目回顾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结业典礼&amp;颁发证书仪式</w:t>
            </w:r>
          </w:p>
        </w:tc>
      </w:tr>
      <w:tr>
        <w:trPr>
          <w:trHeight w:val="1990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Sat.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人文参访</w:t>
            </w: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外交参访 | 国际红十字会及红新月会博物馆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为纪念由亨利·杜南(Herny Dunant)所创立的红十字会而建，记载了红十字会自开创以来140年的世界和平运动历程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i/>
                <w:i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ICRC Museum访客事务部现任官员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外交参访 | 欧洲核子研究组织CERN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世界上最大型的粒子物理学实验室，也是万维网的发源地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介绍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欧洲粒子物理实验室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介绍大型粒子对撞机（跨越瑞士和法国两个国家）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·CERN现任官员</w:t>
            </w:r>
          </w:p>
        </w:tc>
      </w:tr>
      <w:tr>
        <w:trPr>
          <w:trHeight w:val="762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Sun.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人文参访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外交参访 | 国际奥林匹克博物馆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走进世界上最大的奥林匹克竞赛信息中心。通过艺术、文献、影片等向人们展示了从古代希腊到现在的奥林匹克运动的历史，把体育、艺术和奥林匹克精神及文化有机的结合起来 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·奥林匹克博物馆展现了体育运动的优秀精神，也正是体育运动精神将全世界团结在一起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调研参访 | “瑞士的里维埃拉”蒙特勒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瑞士沃州的湖滨小镇，位于烟波浩淼的日内瓦湖东岸，与法国依云小镇遥遥相望，以气候舒适的度假胜地闻名 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Semibold" w:hAnsi="PingFang SC Semibold" w:eastAsia="PingFang SC Semibold" w:cs="PingFang SC Semibold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调研参访 | 西庸古堡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重温英国诗人拜伦《西庸的囚徒》(The Prisoner of Chillon)</w:t>
            </w:r>
          </w:p>
        </w:tc>
      </w:tr>
      <w:tr>
        <w:trPr>
          <w:trHeight w:val="939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Mon.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 Regular" w:hAnsi="PingFang SC Regular" w:eastAsia="PingFang SC Regular" w:cs="PingFang SC Regular"/>
                <w:b/>
                <w:bCs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飞行日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·酒店早餐 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·收拾行李、退房</w:t>
            </w:r>
          </w:p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前往日内瓦机场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ingFang SC" w:hAnsi="PingFang SC" w:eastAsia="PingFang SC" w:cs="PingFang SC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PingFang SC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·搭乘飞机回国</w:t>
            </w:r>
          </w:p>
        </w:tc>
      </w:tr>
    </w:tbl>
    <w:p>
      <w:pPr>
        <w:jc w:val="left"/>
        <w:rPr>
          <w:rFonts w:hint="eastAsia" w:ascii="微软雅黑" w:hAnsi="微软雅黑" w:eastAsia="微软雅黑" w:cs="微软雅黑"/>
          <w:i w:val="0"/>
          <w:color w:val="000000"/>
          <w:sz w:val="16"/>
          <w:szCs w:val="16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16"/>
          <w:szCs w:val="16"/>
          <w:u w:val="none"/>
          <w:lang w:val="en-US" w:eastAsia="zh-CN"/>
        </w:rPr>
        <w:t>注：以上日程安排仅供参考。授课国际组织及日程可能会因联合国安排进行微调，以主办方最终通知</w:t>
      </w:r>
      <w:r>
        <w:rPr>
          <w:rFonts w:hint="eastAsia" w:ascii="微软雅黑" w:hAnsi="微软雅黑" w:eastAsia="微软雅黑" w:cs="微软雅黑"/>
          <w:i w:val="0"/>
          <w:color w:val="000000"/>
          <w:sz w:val="16"/>
          <w:szCs w:val="16"/>
          <w:u w:val="none"/>
          <w:lang w:val="en-US" w:eastAsia="zh-Hans"/>
        </w:rPr>
        <w:t>和执行</w:t>
      </w:r>
      <w:r>
        <w:rPr>
          <w:rFonts w:hint="eastAsia" w:ascii="微软雅黑" w:hAnsi="微软雅黑" w:eastAsia="微软雅黑" w:cs="微软雅黑"/>
          <w:i w:val="0"/>
          <w:color w:val="000000"/>
          <w:sz w:val="16"/>
          <w:szCs w:val="16"/>
          <w:u w:val="none"/>
          <w:lang w:val="en-US" w:eastAsia="zh-CN"/>
        </w:rPr>
        <w:t>为准</w:t>
      </w:r>
      <w:r>
        <w:rPr>
          <w:rFonts w:hint="default" w:ascii="微软雅黑" w:hAnsi="微软雅黑" w:eastAsia="微软雅黑" w:cs="微软雅黑"/>
          <w:i w:val="0"/>
          <w:color w:val="000000"/>
          <w:sz w:val="16"/>
          <w:szCs w:val="16"/>
          <w:u w:val="none"/>
          <w:lang w:eastAsia="zh-CN"/>
        </w:rPr>
        <w:t>。</w:t>
      </w: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 Regular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 Semibold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C8BFC"/>
    <w:rsid w:val="37F739ED"/>
    <w:rsid w:val="7F79C16B"/>
    <w:rsid w:val="FDFC8BFC"/>
    <w:rsid w:val="FFFF8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2023-04-11T04:07:00Z</dcterms:created>
  <dc:creator>蒋国平</dc:creator>
  <cp:lastModifiedBy>蒋国平</cp:lastModifiedBy>
  <dcterms:modified xsi:type="dcterms:W3CDTF">2023-04-10T12:42:12Z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A74C6F75937C3B01908B33643B13ABC8_41</vt:lpwstr>
  </property>
</Properties>
</file>