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bookmarkStart w:id="0" w:name="_GoBack"/>
      <w:r>
        <w:rPr>
          <w:rFonts w:hint="eastAsia" w:ascii="仿宋" w:hAnsi="仿宋" w:eastAsia="仿宋" w:cs="仿宋"/>
          <w:sz w:val="32"/>
          <w:szCs w:val="32"/>
        </w:rPr>
        <w:t>教育部关于印发《本科毕业论文（设计）抽检办法（试行）》的通知</w:t>
      </w:r>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各省、自治区、直辖市教育厅（教委），新疆生产建设兵团教育局，有关部门（单位）教育司（局），部属各高等学校、部省合建各高等学校：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教育部</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2020年12月24日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本科毕业论文（设计）抽检办法（试行）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教育部负责本科毕业论文抽检的统筹组织和监督，省级教育行政部门负责本地区本科毕业论文抽检的具体实施。其中，中国人民解放军有关部门负责军队系统本科毕业论文抽检的具体实施。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本科毕业论文抽检工作应遵循独立、客观、科学、公正原则，任何单位和个人都不得以任何方式干扰抽检工作的正常进行。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本科毕业论文抽检每年进行一次，抽检对象为上一学年度授予学士学位的论文，抽检比例原则上应不低于2%。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第二章 评议要素和重点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省级教育行政部门要参照《普通高等学校本科专业类教学质量国家标准》等要求，结合本地区工作实际，按照《普通高等学校本科专业目录（2020年版）》学科门类分别制定本科毕业论文抽检评议要素。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本科毕业论文抽检应重点对选题意义、写作安排、逻辑构建、专业能力以及学术规范等进行考察。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第三章 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省级教育行政部门基于抽检信息平台和本地区学士学位授予信息，采取随机抽取的方式确定抽检名单。抽检论文要覆盖本地区所有本科层次普通高校及其全部本科专业。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省级教育行政部门利用抽检信息平台对抽检论文进行学术不端行为检测，检测结果供专家评审参考。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第四章 结果反馈与使用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本科毕业论文抽检结果由省级教育行政部门向有关高校反馈、抄送省级学位委员会，同时报教育部备案。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本科毕业论文抽检结果的使用。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（一）抽检结果以适当方式向社会公开。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（三）对连续3年抽检存在问题较多的本科专业，经整改仍无法达到要求者，视为不能保证培养质量，省级教育行政部门应依据有关规定责令其暂停招生，或由省级学位委员会撤销其学士学位授权点。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（四）对涉嫌存在抄袭、剽窃、伪造、篡改、买卖、代写等学术不端行为的毕业论文，高校应按照相关程序进行调查核实，对查实的应依法撤销已授予学位，并注销学位证书。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（五）抽检结果将作为本科教育教学评估、一流本科专业建设、本科专业认证以及专业建设经费投入等教育资源配置的重要参考依据。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第五章 监督与保障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教育部定期对各省级教育行政部门本科毕业论文抽检工作情况开展监督检查，并将工作情况纳入省级人民政府履行教育职责评价的范畴。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省级教育行政部门应保障本科毕业论文抽检工作经费，列入年度工作预算，确保抽检工作顺利开展。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省级教育行政部门应建立本科毕业论文抽检申诉机制，规范申诉处理程序，保障有关高校和学生的合法权益。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各有关高校应按照所在地省级教育行政部门的有关要求，积极配合本科毕业论文抽检工作，准确完整地提供本科毕业论文、学位授予信息等材料。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第六章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省级教育行政部门要参照本办法，结合地方实际，制定本省（区、市）本科毕业论文抽检工作实施细则，并报教育部备案。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本办法由教育部负责解释。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本办法自2021年1月1日起施行。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D75FE"/>
    <w:rsid w:val="29BD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2021-01-07T04:44:00Z</dcterms:created>
  <dc:creator>sls</dc:creator>
  <cp:lastModifiedBy>sls</cp:lastModifiedBy>
  <dcterms:modified xsi:type="dcterms:W3CDTF">2021-01-07T07:31:55Z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