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7B27">
      <w:pPr>
        <w:rPr>
          <w:rFonts w:hint="eastAsia"/>
          <w:color w:val="auto"/>
        </w:rPr>
      </w:pPr>
    </w:p>
    <w:p w14:paraId="12C412B7">
      <w:pPr>
        <w:jc w:val="center"/>
        <w:rPr>
          <w:rFonts w:hint="eastAsia" w:ascii="宋体" w:hAnsi="宋体" w:eastAsia="宋体" w:cs="宋体"/>
          <w:b/>
          <w:bCs/>
          <w:snapToGrid w:val="0"/>
          <w:color w:val="auto"/>
          <w:spacing w:val="1"/>
          <w:kern w:val="0"/>
          <w:sz w:val="31"/>
          <w:szCs w:val="31"/>
          <w:lang w:val="en-US" w:eastAsia="en-US" w:bidi="ar-SA"/>
        </w:rPr>
      </w:pPr>
      <w:r>
        <w:rPr>
          <w:rFonts w:hint="eastAsia" w:ascii="宋体" w:hAnsi="宋体" w:eastAsia="宋体" w:cs="宋体"/>
          <w:b/>
          <w:bCs/>
          <w:snapToGrid w:val="0"/>
          <w:color w:val="auto"/>
          <w:spacing w:val="1"/>
          <w:kern w:val="0"/>
          <w:sz w:val="31"/>
          <w:szCs w:val="31"/>
          <w:lang w:val="en-US" w:eastAsia="en-US" w:bidi="ar-SA"/>
        </w:rPr>
        <w:t>上海海洋大学本科生学籍管理条例</w:t>
      </w:r>
    </w:p>
    <w:p w14:paraId="3B752157">
      <w:pPr>
        <w:keepNext w:val="0"/>
        <w:keepLines w:val="0"/>
        <w:pageBreakBefore w:val="0"/>
        <w:widowControl w:val="0"/>
        <w:kinsoku/>
        <w:wordWrap/>
        <w:overflowPunct/>
        <w:topLinePunct w:val="0"/>
        <w:autoSpaceDE/>
        <w:autoSpaceDN/>
        <w:bidi w:val="0"/>
        <w:adjustRightInd/>
        <w:snapToGrid/>
        <w:spacing w:before="243"/>
        <w:ind w:right="130" w:rightChars="0" w:firstLine="416" w:firstLineChars="200"/>
        <w:textAlignment w:val="auto"/>
        <w:rPr>
          <w:rFonts w:hint="eastAsia" w:ascii="宋体" w:hAnsi="宋体" w:eastAsia="宋体" w:cs="宋体"/>
          <w:snapToGrid w:val="0"/>
          <w:color w:val="auto"/>
          <w:spacing w:val="-1"/>
          <w:kern w:val="0"/>
          <w:sz w:val="21"/>
          <w:szCs w:val="21"/>
          <w:lang w:val="en-US" w:eastAsia="en-US" w:bidi="ar-SA"/>
        </w:rPr>
      </w:pPr>
      <w:r>
        <w:rPr>
          <w:rFonts w:hint="eastAsia" w:ascii="宋体" w:hAnsi="宋体" w:eastAsia="宋体" w:cs="宋体"/>
          <w:snapToGrid w:val="0"/>
          <w:color w:val="auto"/>
          <w:spacing w:val="-1"/>
          <w:kern w:val="0"/>
          <w:sz w:val="21"/>
          <w:szCs w:val="21"/>
          <w:lang w:val="en-US" w:eastAsia="en-US" w:bidi="ar-SA"/>
        </w:rPr>
        <w:t>为维护学校正常教学秩序，保障学生学习权利，规范学籍管 理行为，实现人才培养目标，根据教育部《普通高等学校学生管理规定》(教育部令第41号),结合学校实际，特制定本条例。</w:t>
      </w:r>
    </w:p>
    <w:p w14:paraId="33D40F20">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8"/>
          <w:kern w:val="0"/>
          <w:sz w:val="21"/>
          <w:szCs w:val="21"/>
          <w:lang w:eastAsia="en-US"/>
        </w:rPr>
      </w:pPr>
      <w:r>
        <w:rPr>
          <w:rFonts w:hint="eastAsia" w:ascii="黑体" w:hAnsi="黑体" w:eastAsia="黑体" w:cs="黑体"/>
          <w:b/>
          <w:bCs/>
          <w:snapToGrid w:val="0"/>
          <w:color w:val="auto"/>
          <w:spacing w:val="-8"/>
          <w:kern w:val="0"/>
          <w:sz w:val="21"/>
          <w:szCs w:val="21"/>
          <w:lang w:eastAsia="en-US"/>
        </w:rPr>
        <w:t>第一章  入学与注册</w:t>
      </w:r>
    </w:p>
    <w:p w14:paraId="311A020B">
      <w:pPr>
        <w:keepNext w:val="0"/>
        <w:keepLines w:val="0"/>
        <w:pageBreakBefore w:val="0"/>
        <w:widowControl w:val="0"/>
        <w:kinsoku/>
        <w:wordWrap/>
        <w:overflowPunct/>
        <w:topLinePunct w:val="0"/>
        <w:autoSpaceDE/>
        <w:autoSpaceDN/>
        <w:bidi w:val="0"/>
        <w:adjustRightInd/>
        <w:snapToGrid/>
        <w:spacing w:before="215" w:line="296" w:lineRule="auto"/>
        <w:ind w:left="130" w:firstLine="416" w:firstLineChars="200"/>
        <w:textAlignment w:val="auto"/>
        <w:rPr>
          <w:rFonts w:hint="eastAsia" w:ascii="宋体" w:hAnsi="宋体" w:eastAsia="宋体" w:cs="宋体"/>
          <w:snapToGrid w:val="0"/>
          <w:color w:val="auto"/>
          <w:spacing w:val="-1"/>
          <w:kern w:val="0"/>
          <w:sz w:val="21"/>
          <w:szCs w:val="21"/>
          <w:lang w:val="en-US" w:eastAsia="en-US" w:bidi="ar-SA"/>
        </w:rPr>
      </w:pPr>
      <w:r>
        <w:rPr>
          <w:rFonts w:hint="eastAsia" w:ascii="黑体" w:hAnsi="黑体" w:eastAsia="黑体" w:cs="黑体"/>
          <w:snapToGrid w:val="0"/>
          <w:color w:val="auto"/>
          <w:spacing w:val="-1"/>
          <w:kern w:val="0"/>
          <w:sz w:val="21"/>
          <w:szCs w:val="21"/>
          <w:lang w:val="en-US" w:eastAsia="en-US" w:bidi="ar-SA"/>
        </w:rPr>
        <w:t>第一条</w:t>
      </w:r>
      <w:r>
        <w:rPr>
          <w:rFonts w:hint="eastAsia" w:ascii="宋体" w:hAnsi="宋体" w:eastAsia="宋体" w:cs="宋体"/>
          <w:color w:val="auto"/>
          <w:sz w:val="21"/>
        </w:rPr>
        <w:t xml:space="preserve"> </w:t>
      </w:r>
      <w:r>
        <w:rPr>
          <w:rFonts w:hint="eastAsia" w:ascii="宋体" w:hAnsi="宋体" w:eastAsia="宋体" w:cs="宋体"/>
          <w:color w:val="auto"/>
          <w:sz w:val="21"/>
          <w:lang w:val="en-US" w:eastAsia="zh-CN"/>
        </w:rPr>
        <w:t xml:space="preserve"> </w:t>
      </w:r>
      <w:r>
        <w:rPr>
          <w:rFonts w:hint="eastAsia" w:ascii="宋体" w:hAnsi="宋体" w:eastAsia="宋体" w:cs="宋体"/>
          <w:snapToGrid w:val="0"/>
          <w:color w:val="auto"/>
          <w:spacing w:val="-1"/>
          <w:kern w:val="0"/>
          <w:sz w:val="21"/>
          <w:szCs w:val="21"/>
          <w:lang w:val="en-US" w:eastAsia="en-US" w:bidi="ar-SA"/>
        </w:rPr>
        <w:t>按照国家招生规定被本校录取的新生，应持录取通知书和学校规定的有关证件，按规定期限到校办理入学手续。不能按时报到的已录取考生，应在学校规定时间内提出书面申请，经同意方可延期报到。延期一般不得超过两周，未经准假或准假 后逾期不报到者，除因不可抗力等正当事由以外，视为放弃入学资格。</w:t>
      </w:r>
    </w:p>
    <w:p w14:paraId="7BEED166">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snapToGrid w:val="0"/>
          <w:color w:val="auto"/>
          <w:spacing w:val="-1"/>
          <w:kern w:val="0"/>
          <w:sz w:val="21"/>
          <w:szCs w:val="21"/>
          <w:lang w:val="en-US" w:eastAsia="en-US" w:bidi="ar-SA"/>
        </w:rPr>
      </w:pPr>
      <w:r>
        <w:rPr>
          <w:rFonts w:hint="eastAsia" w:ascii="黑体" w:hAnsi="黑体" w:eastAsia="黑体" w:cs="黑体"/>
          <w:snapToGrid w:val="0"/>
          <w:color w:val="auto"/>
          <w:spacing w:val="-1"/>
          <w:kern w:val="0"/>
          <w:sz w:val="21"/>
          <w:szCs w:val="21"/>
          <w:lang w:val="en-US" w:eastAsia="en-US" w:bidi="ar-SA"/>
        </w:rPr>
        <w:t>第二条</w:t>
      </w:r>
      <w:r>
        <w:rPr>
          <w:rFonts w:hint="eastAsia" w:ascii="宋体" w:hAnsi="宋体" w:eastAsia="宋体" w:cs="宋体"/>
          <w:snapToGrid w:val="0"/>
          <w:color w:val="auto"/>
          <w:spacing w:val="-1"/>
          <w:kern w:val="0"/>
          <w:sz w:val="21"/>
          <w:szCs w:val="21"/>
          <w:lang w:val="en-US" w:eastAsia="en-US" w:bidi="ar-SA"/>
        </w:rPr>
        <w:t xml:space="preserve"> </w:t>
      </w:r>
      <w:r>
        <w:rPr>
          <w:rFonts w:hint="eastAsia" w:ascii="宋体" w:hAnsi="宋体" w:eastAsia="宋体" w:cs="宋体"/>
          <w:snapToGrid w:val="0"/>
          <w:color w:val="auto"/>
          <w:spacing w:val="-1"/>
          <w:kern w:val="0"/>
          <w:sz w:val="21"/>
          <w:szCs w:val="21"/>
          <w:lang w:val="en-US" w:eastAsia="zh-CN" w:bidi="ar-SA"/>
        </w:rPr>
        <w:t xml:space="preserve"> </w:t>
      </w:r>
      <w:r>
        <w:rPr>
          <w:rFonts w:hint="eastAsia" w:ascii="宋体" w:hAnsi="宋体" w:eastAsia="宋体" w:cs="宋体"/>
          <w:snapToGrid w:val="0"/>
          <w:color w:val="auto"/>
          <w:spacing w:val="-1"/>
          <w:kern w:val="0"/>
          <w:sz w:val="21"/>
          <w:szCs w:val="21"/>
          <w:lang w:val="en-US" w:eastAsia="en-US" w:bidi="ar-SA"/>
        </w:rPr>
        <w:t>学校在报到时对新生入学资格进行初步审查，审查合格的办理入学手续</w:t>
      </w:r>
      <w:r>
        <w:rPr>
          <w:rFonts w:hint="eastAsia" w:ascii="宋体" w:hAnsi="宋体" w:eastAsia="宋体" w:cs="宋体"/>
          <w:snapToGrid w:val="0"/>
          <w:color w:val="auto"/>
          <w:spacing w:val="-1"/>
          <w:kern w:val="0"/>
          <w:sz w:val="21"/>
          <w:szCs w:val="21"/>
          <w:lang w:val="en-US" w:eastAsia="zh-CN" w:bidi="ar-SA"/>
        </w:rPr>
        <w:t>，</w:t>
      </w:r>
      <w:r>
        <w:rPr>
          <w:rFonts w:hint="eastAsia" w:ascii="宋体" w:hAnsi="宋体" w:eastAsia="宋体" w:cs="宋体"/>
          <w:snapToGrid w:val="0"/>
          <w:color w:val="auto"/>
          <w:spacing w:val="-1"/>
          <w:kern w:val="0"/>
          <w:sz w:val="21"/>
          <w:szCs w:val="21"/>
          <w:lang w:val="en-US" w:eastAsia="en-US" w:bidi="ar-SA"/>
        </w:rPr>
        <w:t>予以注册学籍；审查发现新生的录取通知、考生信息等证明材料，与本人实际情况不符，或者有其他违反国家招生考试规定情形的，取消入学资格。</w:t>
      </w:r>
    </w:p>
    <w:p w14:paraId="35BEAA55">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snapToGrid w:val="0"/>
          <w:color w:val="auto"/>
          <w:spacing w:val="-1"/>
          <w:kern w:val="0"/>
          <w:sz w:val="21"/>
          <w:szCs w:val="21"/>
          <w:lang w:val="en-US" w:eastAsia="en-US" w:bidi="ar-SA"/>
        </w:rPr>
      </w:pPr>
      <w:r>
        <w:rPr>
          <w:rFonts w:hint="eastAsia" w:ascii="黑体" w:hAnsi="黑体" w:eastAsia="黑体" w:cs="黑体"/>
          <w:snapToGrid w:val="0"/>
          <w:color w:val="auto"/>
          <w:spacing w:val="-1"/>
          <w:kern w:val="0"/>
          <w:sz w:val="21"/>
          <w:szCs w:val="21"/>
          <w:lang w:val="en-US" w:eastAsia="en-US" w:bidi="ar-SA"/>
        </w:rPr>
        <w:t>第三条</w:t>
      </w:r>
      <w:r>
        <w:rPr>
          <w:rFonts w:hint="eastAsia" w:ascii="宋体" w:hAnsi="宋体" w:eastAsia="宋体" w:cs="宋体"/>
          <w:snapToGrid w:val="0"/>
          <w:color w:val="auto"/>
          <w:spacing w:val="-1"/>
          <w:kern w:val="0"/>
          <w:sz w:val="21"/>
          <w:szCs w:val="21"/>
          <w:lang w:val="en-US" w:eastAsia="en-US" w:bidi="ar-SA"/>
        </w:rPr>
        <w:t xml:space="preserve"> </w:t>
      </w:r>
      <w:r>
        <w:rPr>
          <w:rFonts w:hint="eastAsia" w:ascii="宋体" w:hAnsi="宋体" w:eastAsia="宋体" w:cs="宋体"/>
          <w:snapToGrid w:val="0"/>
          <w:color w:val="auto"/>
          <w:spacing w:val="-1"/>
          <w:kern w:val="0"/>
          <w:sz w:val="21"/>
          <w:szCs w:val="21"/>
          <w:lang w:val="en-US" w:eastAsia="zh-CN" w:bidi="ar-SA"/>
        </w:rPr>
        <w:t xml:space="preserve"> </w:t>
      </w:r>
      <w:r>
        <w:rPr>
          <w:rFonts w:hint="eastAsia" w:ascii="宋体" w:hAnsi="宋体" w:eastAsia="宋体" w:cs="宋体"/>
          <w:snapToGrid w:val="0"/>
          <w:color w:val="auto"/>
          <w:spacing w:val="-1"/>
          <w:kern w:val="0"/>
          <w:sz w:val="21"/>
          <w:szCs w:val="21"/>
          <w:lang w:val="en-US" w:eastAsia="en-US" w:bidi="ar-SA"/>
        </w:rPr>
        <w:t>符合以下两种情况的新生可以在开学二周内申请保留入学资格。保留入学资格期间不具有学籍。</w:t>
      </w:r>
    </w:p>
    <w:p w14:paraId="7EF87E47">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snapToGrid w:val="0"/>
          <w:color w:val="auto"/>
          <w:spacing w:val="-1"/>
          <w:kern w:val="0"/>
          <w:sz w:val="21"/>
          <w:szCs w:val="21"/>
          <w:lang w:val="en-US" w:eastAsia="en-US" w:bidi="ar-SA"/>
        </w:rPr>
      </w:pPr>
      <w:r>
        <w:rPr>
          <w:rFonts w:hint="eastAsia" w:ascii="宋体" w:hAnsi="宋体" w:eastAsia="宋体" w:cs="宋体"/>
          <w:snapToGrid w:val="0"/>
          <w:color w:val="auto"/>
          <w:spacing w:val="-1"/>
          <w:kern w:val="0"/>
          <w:sz w:val="21"/>
          <w:szCs w:val="21"/>
          <w:lang w:val="en-US" w:eastAsia="zh-CN" w:bidi="ar-SA"/>
        </w:rPr>
        <w:t>1.</w:t>
      </w:r>
      <w:r>
        <w:rPr>
          <w:rFonts w:hint="eastAsia" w:ascii="宋体" w:hAnsi="宋体" w:eastAsia="宋体" w:cs="宋体"/>
          <w:snapToGrid w:val="0"/>
          <w:color w:val="auto"/>
          <w:spacing w:val="-1"/>
          <w:kern w:val="0"/>
          <w:sz w:val="21"/>
          <w:szCs w:val="21"/>
          <w:lang w:val="en-US" w:eastAsia="en-US" w:bidi="ar-SA"/>
        </w:rPr>
        <w:t>对身心状况不适宜在校学习的新生，经二级甲等以上医院诊断，需要在家休养的，由学校批准保留入学资格一年，并在收到通知之日起十个工作日内办理相关手续，回家或回原单位治疗， 医疗费用自理，不享受在校生和休学生待遇。十个工作日不办理相关手续，视为放弃入学资格。保留入学资格者，在保留入学资格期间如有违法行为，取消其入学资格。保留入学资格者必须在下学年开学前向招生办公室申请入学，经学校指定的医院复查达到国家规定的入学体检标准后，予以注册并取得学籍。复查不合格的，取消入学资格；逾期不办理入学手续且未有因不可抗力延迟等正当理由的，视为放弃入学资格。</w:t>
      </w:r>
    </w:p>
    <w:p w14:paraId="1487EE1A">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snapToGrid w:val="0"/>
          <w:color w:val="auto"/>
          <w:spacing w:val="-1"/>
          <w:kern w:val="0"/>
          <w:sz w:val="21"/>
          <w:szCs w:val="21"/>
          <w:lang w:val="en-US" w:eastAsia="en-US" w:bidi="ar-SA"/>
        </w:rPr>
      </w:pPr>
      <w:r>
        <w:rPr>
          <w:rFonts w:hint="eastAsia" w:ascii="宋体" w:hAnsi="宋体" w:eastAsia="宋体" w:cs="宋体"/>
          <w:snapToGrid w:val="0"/>
          <w:color w:val="auto"/>
          <w:spacing w:val="-1"/>
          <w:kern w:val="0"/>
          <w:sz w:val="21"/>
          <w:szCs w:val="21"/>
          <w:lang w:val="en-US" w:eastAsia="zh-CN" w:bidi="ar-SA"/>
        </w:rPr>
        <w:t>2.</w:t>
      </w:r>
      <w:r>
        <w:rPr>
          <w:rFonts w:hint="eastAsia" w:ascii="宋体" w:hAnsi="宋体" w:eastAsia="宋体" w:cs="宋体"/>
          <w:snapToGrid w:val="0"/>
          <w:color w:val="auto"/>
          <w:spacing w:val="-1"/>
          <w:kern w:val="0"/>
          <w:sz w:val="21"/>
          <w:szCs w:val="21"/>
          <w:lang w:val="en-US" w:eastAsia="en-US" w:bidi="ar-SA"/>
        </w:rPr>
        <w:t>应征入伍新生，持所在地县(市、区)人民政府征兵办公室出具的入伍通知书复印件、《应征入伍普通高等学校录取新生保留入学资格申请表》原件办理保留入学资格手续。保留入学资格至退役后2年内，可以在退役当年或者第2年新生入学期间，持相关证明和录取通知书，到校办理入学手续。逾期未办理恢复入学资格手续者，入学资格不再保留。</w:t>
      </w:r>
    </w:p>
    <w:p w14:paraId="2DEA6571">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snapToGrid w:val="0"/>
          <w:color w:val="auto"/>
          <w:spacing w:val="-1"/>
          <w:kern w:val="0"/>
          <w:sz w:val="21"/>
          <w:szCs w:val="21"/>
          <w:lang w:val="en-US" w:eastAsia="en-US" w:bidi="ar-SA"/>
        </w:rPr>
      </w:pPr>
      <w:r>
        <w:rPr>
          <w:rFonts w:hint="eastAsia" w:ascii="宋体" w:hAnsi="宋体" w:eastAsia="宋体" w:cs="宋体"/>
          <w:snapToGrid w:val="0"/>
          <w:color w:val="auto"/>
          <w:spacing w:val="-1"/>
          <w:kern w:val="0"/>
          <w:sz w:val="21"/>
          <w:szCs w:val="21"/>
          <w:lang w:val="en-US" w:eastAsia="en-US" w:bidi="ar-SA"/>
        </w:rPr>
        <w:t>入伍新生在新兵检疫复查期间因身体原因被退回且在新生报到期间的，可以持县级征兵办证明和录取通知书办理入学手续；因身体原因不宜继续在部队服役而中途退役，可以在退役当年，如错过当年入学期间，可以顺延1年办理入学。学校对入伍后因政治原因或拒绝服兵役被部队退回、服役期间受到除名或开除军籍处分的，或者被依法追究刑事责任的，取消其入学资格。</w:t>
      </w:r>
    </w:p>
    <w:p w14:paraId="14E2B34A">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color w:val="auto"/>
          <w:sz w:val="21"/>
        </w:rPr>
      </w:pPr>
      <w:r>
        <w:rPr>
          <w:rFonts w:hint="eastAsia" w:ascii="黑体" w:hAnsi="黑体" w:eastAsia="黑体" w:cs="黑体"/>
          <w:snapToGrid w:val="0"/>
          <w:color w:val="auto"/>
          <w:spacing w:val="-1"/>
          <w:kern w:val="0"/>
          <w:sz w:val="21"/>
          <w:szCs w:val="21"/>
          <w:lang w:val="en-US" w:eastAsia="en-US" w:bidi="ar-SA"/>
        </w:rPr>
        <w:t>第四条</w:t>
      </w:r>
      <w:r>
        <w:rPr>
          <w:rFonts w:hint="eastAsia" w:ascii="宋体" w:hAnsi="宋体" w:eastAsia="宋体" w:cs="宋体"/>
          <w:color w:val="auto"/>
          <w:sz w:val="21"/>
        </w:rPr>
        <w:t xml:space="preserve"> </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新生入学后，学校在三个月内按照国家招生规定进行复查。复查内容主要包括以下方面：</w:t>
      </w:r>
    </w:p>
    <w:p w14:paraId="0863EA4D">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一）</w:t>
      </w:r>
      <w:r>
        <w:rPr>
          <w:rFonts w:hint="eastAsia" w:ascii="宋体" w:hAnsi="宋体" w:eastAsia="宋体" w:cs="宋体"/>
          <w:color w:val="auto"/>
          <w:sz w:val="21"/>
        </w:rPr>
        <w:t>录取手续及程序等是否合乎国家招生规定；</w:t>
      </w:r>
    </w:p>
    <w:p w14:paraId="39A279E6">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二）</w:t>
      </w:r>
      <w:r>
        <w:rPr>
          <w:rFonts w:hint="eastAsia" w:ascii="宋体" w:hAnsi="宋体" w:eastAsia="宋体" w:cs="宋体"/>
          <w:color w:val="auto"/>
          <w:sz w:val="21"/>
        </w:rPr>
        <w:t>所获得的录取资格是否真实、合乎相关规定；</w:t>
      </w:r>
    </w:p>
    <w:p w14:paraId="708E1541">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三）</w:t>
      </w:r>
      <w:r>
        <w:rPr>
          <w:rFonts w:hint="eastAsia" w:ascii="宋体" w:hAnsi="宋体" w:eastAsia="宋体" w:cs="宋体"/>
          <w:color w:val="auto"/>
          <w:sz w:val="21"/>
        </w:rPr>
        <w:t>本人及身份证明与录取通知、考生档案等是否一致；</w:t>
      </w:r>
    </w:p>
    <w:p w14:paraId="55789F4F">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四）</w:t>
      </w:r>
      <w:r>
        <w:rPr>
          <w:rFonts w:hint="eastAsia" w:ascii="宋体" w:hAnsi="宋体" w:eastAsia="宋体" w:cs="宋体"/>
          <w:color w:val="auto"/>
          <w:sz w:val="21"/>
        </w:rPr>
        <w:t>身心健康状况是否符合报考专业或者专业类别体检要求，能否保证在校正常学习、生活；</w:t>
      </w:r>
    </w:p>
    <w:p w14:paraId="672E6EAA">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五）</w:t>
      </w:r>
      <w:r>
        <w:rPr>
          <w:rFonts w:hint="eastAsia" w:ascii="宋体" w:hAnsi="宋体" w:eastAsia="宋体" w:cs="宋体"/>
          <w:color w:val="auto"/>
          <w:sz w:val="21"/>
        </w:rPr>
        <w:t>艺术、体育等特殊类型录取学生的专业水平是否符合录取要求。</w:t>
      </w:r>
    </w:p>
    <w:p w14:paraId="3403E8B5">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rPr>
        <w:t>复查中发现学生存在弄虚作假、徇私舞弊等情形的，确定为复查不合格，取消学籍；情节严重的，学校移交有关部门调查处理 。</w:t>
      </w:r>
    </w:p>
    <w:p w14:paraId="518B824E">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color w:val="auto"/>
          <w:sz w:val="21"/>
        </w:rPr>
      </w:pPr>
      <w:r>
        <w:rPr>
          <w:rFonts w:hint="eastAsia" w:ascii="黑体" w:hAnsi="黑体" w:eastAsia="黑体" w:cs="黑体"/>
          <w:snapToGrid w:val="0"/>
          <w:color w:val="auto"/>
          <w:spacing w:val="-1"/>
          <w:kern w:val="0"/>
          <w:sz w:val="21"/>
          <w:szCs w:val="21"/>
          <w:lang w:val="en-US" w:eastAsia="en-US" w:bidi="ar-SA"/>
        </w:rPr>
        <w:t>第五条</w:t>
      </w:r>
      <w:r>
        <w:rPr>
          <w:rFonts w:hint="eastAsia" w:ascii="宋体" w:hAnsi="宋体" w:eastAsia="宋体" w:cs="宋体"/>
          <w:color w:val="auto"/>
          <w:sz w:val="21"/>
        </w:rPr>
        <w:t xml:space="preserve"> </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每学期开学时，学生应按学校规定办理注册手续。不能如期注册者，应当履行暂缓注册手续</w:t>
      </w:r>
      <w:r>
        <w:rPr>
          <w:rFonts w:hint="eastAsia" w:ascii="宋体" w:hAnsi="宋体" w:eastAsia="宋体" w:cs="宋体"/>
          <w:color w:val="auto"/>
          <w:sz w:val="21"/>
          <w:lang w:eastAsia="zh-CN"/>
        </w:rPr>
        <w:t>（</w:t>
      </w:r>
      <w:r>
        <w:rPr>
          <w:rFonts w:hint="eastAsia" w:ascii="宋体" w:hAnsi="宋体" w:eastAsia="宋体" w:cs="宋体"/>
          <w:color w:val="auto"/>
          <w:sz w:val="21"/>
        </w:rPr>
        <w:t>病假要凭医院证明并经校门诊部认可</w:t>
      </w:r>
      <w:r>
        <w:rPr>
          <w:rFonts w:hint="eastAsia" w:ascii="宋体" w:hAnsi="宋体" w:eastAsia="宋体" w:cs="宋体"/>
          <w:color w:val="auto"/>
          <w:sz w:val="21"/>
          <w:lang w:eastAsia="zh-CN"/>
        </w:rPr>
        <w:t>）</w:t>
      </w:r>
      <w:r>
        <w:rPr>
          <w:rFonts w:hint="eastAsia" w:ascii="宋体" w:hAnsi="宋体" w:eastAsia="宋体" w:cs="宋体"/>
          <w:color w:val="auto"/>
          <w:sz w:val="21"/>
        </w:rPr>
        <w:t>。未按学校规定缴纳学费</w:t>
      </w:r>
      <w:r>
        <w:rPr>
          <w:rFonts w:hint="eastAsia" w:ascii="宋体" w:hAnsi="宋体" w:eastAsia="宋体" w:cs="宋体"/>
          <w:color w:val="auto"/>
          <w:sz w:val="21"/>
          <w:lang w:eastAsia="zh-CN"/>
        </w:rPr>
        <w:t>（</w:t>
      </w:r>
      <w:r>
        <w:rPr>
          <w:rFonts w:hint="eastAsia" w:ascii="宋体" w:hAnsi="宋体" w:eastAsia="宋体" w:cs="宋体"/>
          <w:color w:val="auto"/>
          <w:sz w:val="21"/>
        </w:rPr>
        <w:t>含学分费</w:t>
      </w:r>
      <w:r>
        <w:rPr>
          <w:rFonts w:hint="eastAsia" w:ascii="宋体" w:hAnsi="宋体" w:eastAsia="宋体" w:cs="宋体"/>
          <w:color w:val="auto"/>
          <w:sz w:val="21"/>
          <w:lang w:eastAsia="zh-CN"/>
        </w:rPr>
        <w:t>）</w:t>
      </w:r>
      <w:r>
        <w:rPr>
          <w:rFonts w:hint="eastAsia" w:ascii="宋体" w:hAnsi="宋体" w:eastAsia="宋体" w:cs="宋体"/>
          <w:color w:val="auto"/>
          <w:sz w:val="21"/>
        </w:rPr>
        <w:t>或其他不符合注册条件者不予注册。</w:t>
      </w:r>
    </w:p>
    <w:p w14:paraId="3C542DE9">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rPr>
        <w:t>家庭经济困难的学生可以申请国家助学贷款或者申请其他形式资助，办理有关手续后注册。</w:t>
      </w:r>
    </w:p>
    <w:p w14:paraId="7D1E776D">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ascii="宋体" w:hAnsi="宋体" w:eastAsia="宋体" w:cs="宋体"/>
          <w:color w:val="auto"/>
          <w:sz w:val="21"/>
        </w:rPr>
      </w:pPr>
      <w:r>
        <w:rPr>
          <w:rFonts w:hint="eastAsia" w:ascii="宋体" w:hAnsi="宋体" w:eastAsia="宋体" w:cs="宋体"/>
          <w:color w:val="auto"/>
          <w:sz w:val="21"/>
        </w:rPr>
        <w:t>未办理暂缓注册手续者，从每学期开学应注册日期起，两周内未完成注册，按自动退学处理。</w:t>
      </w:r>
    </w:p>
    <w:p w14:paraId="5DBEB947">
      <w:pPr>
        <w:keepNext w:val="0"/>
        <w:keepLines w:val="0"/>
        <w:pageBreakBefore w:val="0"/>
        <w:widowControl w:val="0"/>
        <w:kinsoku/>
        <w:wordWrap/>
        <w:overflowPunct/>
        <w:topLinePunct w:val="0"/>
        <w:autoSpaceDE/>
        <w:autoSpaceDN/>
        <w:bidi w:val="0"/>
        <w:adjustRightInd/>
        <w:snapToGrid/>
        <w:spacing w:line="296" w:lineRule="auto"/>
        <w:ind w:left="130" w:firstLine="420" w:firstLineChars="200"/>
        <w:textAlignment w:val="auto"/>
        <w:rPr>
          <w:rFonts w:hint="eastAsia"/>
          <w:color w:val="auto"/>
        </w:rPr>
      </w:pPr>
      <w:r>
        <w:rPr>
          <w:rFonts w:hint="eastAsia" w:ascii="宋体" w:hAnsi="宋体" w:eastAsia="宋体" w:cs="宋体"/>
          <w:color w:val="auto"/>
          <w:sz w:val="21"/>
        </w:rPr>
        <w:t>办理暂缓注册手续者，在学校批复同意延迟的注册日期后仍未完成注册，按自动退学处理。</w:t>
      </w:r>
    </w:p>
    <w:p w14:paraId="59324591">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第二章  学制与学习年限</w:t>
      </w:r>
    </w:p>
    <w:p w14:paraId="53FC3667">
      <w:pPr>
        <w:keepNext w:val="0"/>
        <w:keepLines w:val="0"/>
        <w:pageBreakBefore w:val="0"/>
        <w:widowControl w:val="0"/>
        <w:kinsoku/>
        <w:wordWrap/>
        <w:overflowPunct/>
        <w:topLinePunct w:val="0"/>
        <w:autoSpaceDE/>
        <w:autoSpaceDN/>
        <w:bidi w:val="0"/>
        <w:adjustRightInd/>
        <w:snapToGrid/>
        <w:spacing w:before="215" w:line="296" w:lineRule="auto"/>
        <w:ind w:lef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第六条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学校本科教学实行学分制，基本学制为四年。学生在校最长学习年限(含休学和保留学籍)为六年。在基本学制期</w:t>
      </w:r>
      <w:bookmarkStart w:id="0" w:name="_GoBack"/>
      <w:bookmarkEnd w:id="0"/>
      <w:r>
        <w:rPr>
          <w:rFonts w:hint="eastAsia" w:ascii="宋体" w:hAnsi="宋体" w:eastAsia="宋体" w:cs="宋体"/>
          <w:color w:val="auto"/>
        </w:rPr>
        <w:t>满之前修满并取得规定学分，达到本条例规定的毕业条件者，可以提前毕业。在基本学制期内未取得规定学分者予以结业。</w:t>
      </w:r>
    </w:p>
    <w:p w14:paraId="4FA8D51C">
      <w:pPr>
        <w:keepNext w:val="0"/>
        <w:keepLines w:val="0"/>
        <w:pageBreakBefore w:val="0"/>
        <w:widowControl w:val="0"/>
        <w:kinsoku/>
        <w:wordWrap/>
        <w:overflowPunct/>
        <w:topLinePunct w:val="0"/>
        <w:autoSpaceDE/>
        <w:autoSpaceDN/>
        <w:bidi w:val="0"/>
        <w:adjustRightInd/>
        <w:snapToGrid/>
        <w:spacing w:line="296" w:lineRule="auto"/>
        <w:ind w:lef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第七条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要求提前毕业的学生，必须在拟毕业学期的前一学期向所在学院提出书面申请，报学校批准后，列入当学期毕业生计划。提前毕业学生需缴纳按正常毕业所需的相关费用。</w:t>
      </w:r>
    </w:p>
    <w:p w14:paraId="2421F2EA">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第三章  选课与听课</w:t>
      </w:r>
    </w:p>
    <w:p w14:paraId="5FBB600E">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第八条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学生根据《上海海洋大学教学一览》中的专业指导 性教学计划和选课指南自主选课。</w:t>
      </w:r>
    </w:p>
    <w:p w14:paraId="6DCA157B">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第九条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学生应根据本人实际情况，听取指导教师的意见</w:t>
      </w:r>
      <w:r>
        <w:rPr>
          <w:rFonts w:hint="eastAsia" w:ascii="宋体" w:hAnsi="宋体" w:eastAsia="宋体" w:cs="宋体"/>
          <w:color w:val="auto"/>
          <w:lang w:eastAsia="zh-CN"/>
        </w:rPr>
        <w:t>，</w:t>
      </w:r>
      <w:r>
        <w:rPr>
          <w:rFonts w:hint="eastAsia" w:ascii="宋体" w:hAnsi="宋体" w:eastAsia="宋体" w:cs="宋体"/>
          <w:color w:val="auto"/>
        </w:rPr>
        <w:t>合理安排学习课程和进度。新生入学，原则上第一学期的课程由 学校统一预置，学生不作选课。第二至第四学期每学期选课最少不得低于16学分，最多不超过35学分。</w:t>
      </w:r>
    </w:p>
    <w:p w14:paraId="778ABAD0">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学生如因错选、漏选课程需要更改原来的课程安排，必须在规定的时间内办理退课、补选手续。</w:t>
      </w:r>
    </w:p>
    <w:p w14:paraId="457C1D2F">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学生应根据《上海海洋大学本科生选课、退课、免听、免修课程实施细则》办理选课事宜。交清学费等相关费用且已注册的学生方能参加正常选课，未选课者不能参加听课和考核。</w:t>
      </w:r>
    </w:p>
    <w:p w14:paraId="5B772001">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第十一条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应按时参加教育教学计划规定的活动，不能按时参加的，应事先办理书面请假手续。学生上课的出勤考核工作由任课教师负责，考勤结果作为评定平时成绩的依据之一。对未经请假批准缺课超过三分之一学时或随机抽查三次不到者，教师有权取消其考核资格，成绩按零分记载。</w:t>
      </w:r>
    </w:p>
    <w:p w14:paraId="584A82B7">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第十二条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学生在前六个学期应修学分中尚缺10学分及以上者，不能直接进入毕业设计</w:t>
      </w:r>
      <w:r>
        <w:rPr>
          <w:rFonts w:hint="eastAsia" w:ascii="宋体" w:hAnsi="宋体" w:eastAsia="宋体" w:cs="宋体"/>
          <w:color w:val="auto"/>
          <w:lang w:eastAsia="zh-CN"/>
        </w:rPr>
        <w:t>（</w:t>
      </w:r>
      <w:r>
        <w:rPr>
          <w:rFonts w:hint="eastAsia" w:ascii="宋体" w:hAnsi="宋体" w:eastAsia="宋体" w:cs="宋体"/>
          <w:color w:val="auto"/>
        </w:rPr>
        <w:t>论文</w:t>
      </w:r>
      <w:r>
        <w:rPr>
          <w:rFonts w:hint="eastAsia" w:ascii="宋体" w:hAnsi="宋体" w:eastAsia="宋体" w:cs="宋体"/>
          <w:color w:val="auto"/>
          <w:lang w:eastAsia="zh-CN"/>
        </w:rPr>
        <w:t>）</w:t>
      </w:r>
      <w:r>
        <w:rPr>
          <w:rFonts w:hint="eastAsia" w:ascii="宋体" w:hAnsi="宋体" w:eastAsia="宋体" w:cs="宋体"/>
          <w:color w:val="auto"/>
        </w:rPr>
        <w:t>阶段。</w:t>
      </w:r>
    </w:p>
    <w:p w14:paraId="2C98AE3D">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第四章 考核与成绩记载</w:t>
      </w:r>
    </w:p>
    <w:p w14:paraId="3F5CFDCD">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第十三条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学生注册取得学籍后必须参加教学计划规定的课 程和各种教育教学环节的考核。学校真实、完整地记载、出具学生学业成绩，对通过补考、重修获得的成绩，予以相应标注。</w:t>
      </w:r>
    </w:p>
    <w:p w14:paraId="411FB97A">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第十四条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考核方式和成绩评定由基层教学组织根据课程的 具体情况决定，任课教师上课时应向学生明确。考核方式包括闭 卷考试、开卷考试、口试、论文及调研报告等形式。成绩评定根据学生平时学习态度、出勤、作业完成情况、课堂讨论、平时测验、学习效果及课程期末考核等环节综合评定。</w:t>
      </w:r>
    </w:p>
    <w:p w14:paraId="1FDD74C7">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第十五条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考核成绩一旦评定后，任何人不得随意改动。如教师发现评分或录分有误，须填写《上海海洋大学教师原始成绩 修改申请表》,经学院教学副院长批准后，报教务处审批。审批通过后，由教务处将成绩退回，再由教师重新录入成绩，并负责做好归档材料的调整。如学生对成绩有异议，可在开学注册时提出成绩复议申请。补考成绩不作复议。</w:t>
      </w:r>
    </w:p>
    <w:p w14:paraId="4F4EB32F">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第十六条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应在规定的时间、地点参加考核，擅自缺考者，成绩以零分记。因病、考试时间冲突等原因不能如期参加考试者，应事先向任课教师提出缓考申请，经任课教师同意，学生和课程所在学院分别审核，报教务处批准，方可予以缓考。同一门课程只能申请缓考一次。</w:t>
      </w:r>
    </w:p>
    <w:p w14:paraId="440426B3">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第十七条</w:t>
      </w:r>
      <w:r>
        <w:rPr>
          <w:rFonts w:hint="eastAsia" w:ascii="宋体" w:hAnsi="宋体" w:eastAsia="宋体" w:cs="宋体"/>
          <w:color w:val="auto"/>
        </w:rPr>
        <w:t xml:space="preserve">  缓考</w:t>
      </w:r>
    </w:p>
    <w:p w14:paraId="2FD57AB4">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校管课程的缓考由教务处统一安排在开学初随补考进行，院管课程的缓考由学院具体组织，同步完成。</w:t>
      </w:r>
    </w:p>
    <w:p w14:paraId="42BE3646">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因各种原因未能如期参加缓考者，以后不再补办缓考手续。</w:t>
      </w:r>
    </w:p>
    <w:p w14:paraId="4B1E6E54">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课程缓考后仍不及格者，不再安排补考。</w:t>
      </w:r>
    </w:p>
    <w:p w14:paraId="51610E1B">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第十八条</w:t>
      </w:r>
      <w:r>
        <w:rPr>
          <w:rFonts w:hint="eastAsia" w:ascii="宋体" w:hAnsi="宋体" w:eastAsia="宋体" w:cs="宋体"/>
          <w:color w:val="auto"/>
        </w:rPr>
        <w:t xml:space="preserve">  补考与重修</w:t>
      </w:r>
    </w:p>
    <w:p w14:paraId="3522FCE9">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必修课程(当学期课表中课程属性标注为“必修”的课程)不及格且在30分以上者(含30分),可参加下学期开学初 的补考。补考不及格或无补考者均应重修；课程虽已及格，但本人对成绩不满意，可在教学资源允许情况下申请重修。重修需按相关规定缴纳学分费。</w:t>
      </w:r>
    </w:p>
    <w:p w14:paraId="6B2795D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补考课程如合格，其成绩均按及格(60分)记载，如不合格按实记载。重修课程的成绩按实记载。</w:t>
      </w:r>
    </w:p>
    <w:p w14:paraId="11642305">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第十九条</w:t>
      </w:r>
      <w:r>
        <w:rPr>
          <w:rFonts w:hint="eastAsia" w:ascii="宋体" w:hAnsi="宋体" w:eastAsia="宋体" w:cs="宋体"/>
          <w:color w:val="auto"/>
        </w:rPr>
        <w:t xml:space="preserve">  实践教学按各环节计算学分，凡考核成绩达到及格及以上者，即获得该环节的学分；不及格者，随下一级学生或由学院在适当时间安排一次重做</w:t>
      </w:r>
      <w:r>
        <w:rPr>
          <w:rFonts w:hint="eastAsia" w:ascii="宋体" w:hAnsi="宋体" w:eastAsia="宋体" w:cs="宋体"/>
          <w:color w:val="auto"/>
          <w:lang w:eastAsia="zh-CN"/>
        </w:rPr>
        <w:t>（</w:t>
      </w:r>
      <w:r>
        <w:rPr>
          <w:rFonts w:hint="eastAsia" w:ascii="宋体" w:hAnsi="宋体" w:eastAsia="宋体" w:cs="宋体"/>
          <w:color w:val="auto"/>
        </w:rPr>
        <w:t>补做</w:t>
      </w:r>
      <w:r>
        <w:rPr>
          <w:rFonts w:hint="eastAsia" w:ascii="宋体" w:hAnsi="宋体" w:eastAsia="宋体" w:cs="宋体"/>
          <w:color w:val="auto"/>
          <w:lang w:eastAsia="zh-CN"/>
        </w:rPr>
        <w:t>）</w:t>
      </w:r>
      <w:r>
        <w:rPr>
          <w:rFonts w:hint="eastAsia" w:ascii="宋体" w:hAnsi="宋体" w:eastAsia="宋体" w:cs="宋体"/>
          <w:color w:val="auto"/>
        </w:rPr>
        <w:t>,并按有关规定缴纳有关费用。</w:t>
      </w:r>
    </w:p>
    <w:p w14:paraId="03F461FA">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体育课不及格者应重修。因身体原因</w:t>
      </w:r>
      <w:r>
        <w:rPr>
          <w:rFonts w:hint="eastAsia" w:ascii="宋体" w:hAnsi="宋体" w:eastAsia="宋体" w:cs="宋体"/>
          <w:color w:val="auto"/>
          <w:lang w:eastAsia="zh-CN"/>
        </w:rPr>
        <w:t>（</w:t>
      </w:r>
      <w:r>
        <w:rPr>
          <w:rFonts w:hint="eastAsia" w:ascii="宋体" w:hAnsi="宋体" w:eastAsia="宋体" w:cs="宋体"/>
          <w:color w:val="auto"/>
        </w:rPr>
        <w:t>由医疗部门出具有关证明材料经体育部审核</w:t>
      </w:r>
      <w:r>
        <w:rPr>
          <w:rFonts w:hint="eastAsia" w:ascii="宋体" w:hAnsi="宋体" w:eastAsia="宋体" w:cs="宋体"/>
          <w:color w:val="auto"/>
          <w:lang w:eastAsia="zh-CN"/>
        </w:rPr>
        <w:t>）</w:t>
      </w:r>
      <w:r>
        <w:rPr>
          <w:rFonts w:hint="eastAsia" w:ascii="宋体" w:hAnsi="宋体" w:eastAsia="宋体" w:cs="宋体"/>
          <w:color w:val="auto"/>
        </w:rPr>
        <w:t>不能参加剧烈运动的学生，由本人申请，体育部安排其上体育保健课。体育课成绩考核与登记按《上海海洋大学学生体育教学及管理规定》办理。</w:t>
      </w:r>
    </w:p>
    <w:p w14:paraId="05916CA1">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第二十一条</w:t>
      </w:r>
      <w:r>
        <w:rPr>
          <w:rFonts w:hint="eastAsia" w:ascii="宋体" w:hAnsi="宋体" w:eastAsia="宋体" w:cs="宋体"/>
          <w:color w:val="auto"/>
        </w:rPr>
        <w:t xml:space="preserve">  因课程设置或教学计划调整所变动的课程而致无法重修，经开课学院认定，报教务处审批后，学生可另修与原不及格课程内容相近的课程，经考核合格后给予原课程学分。申请手续在每学期选课时间段内办理。</w:t>
      </w:r>
    </w:p>
    <w:p w14:paraId="2B8BFAF5">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第二十二条</w:t>
      </w:r>
      <w:r>
        <w:rPr>
          <w:rFonts w:hint="eastAsia" w:ascii="宋体" w:hAnsi="宋体" w:eastAsia="宋体" w:cs="宋体"/>
          <w:color w:val="auto"/>
        </w:rPr>
        <w:t xml:space="preserve">  学生必须严格遵守《上海海洋大学学生考场规则》。凡严重违反考核纪律或作弊者，该课程考核成绩无效，以零分记，并视其违纪或作弊情节，给予相应的纪律处分。</w:t>
      </w:r>
    </w:p>
    <w:p w14:paraId="3AFCFA36">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第二十三条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考核成绩的记载一般采用百分制</w:t>
      </w:r>
      <w:r>
        <w:rPr>
          <w:rFonts w:hint="eastAsia" w:ascii="宋体" w:hAnsi="宋体" w:eastAsia="宋体" w:cs="宋体"/>
          <w:color w:val="auto"/>
          <w:lang w:eastAsia="zh-CN"/>
        </w:rPr>
        <w:t>（</w:t>
      </w:r>
      <w:r>
        <w:rPr>
          <w:rFonts w:hint="eastAsia" w:ascii="宋体" w:hAnsi="宋体" w:eastAsia="宋体" w:cs="宋体"/>
          <w:color w:val="auto"/>
        </w:rPr>
        <w:t>四舍五入取 整</w:t>
      </w:r>
      <w:r>
        <w:rPr>
          <w:rFonts w:hint="eastAsia" w:ascii="宋体" w:hAnsi="宋体" w:eastAsia="宋体" w:cs="宋体"/>
          <w:color w:val="auto"/>
          <w:lang w:eastAsia="zh-CN"/>
        </w:rPr>
        <w:t>）</w:t>
      </w:r>
      <w:r>
        <w:rPr>
          <w:rFonts w:hint="eastAsia" w:ascii="宋体" w:hAnsi="宋体" w:eastAsia="宋体" w:cs="宋体"/>
          <w:color w:val="auto"/>
        </w:rPr>
        <w:t>、五级制和两级制。课堂教学课程(理论课程)的考核采用 百分制记载；单独开设的实验课、实习、课程设计等课程的考核  可采用“优秀”“良好”“中等”“及格”“不及格”五级制记载或百分制记载；毕业设计(论文)的考核采用五级制记载；社会实践、读书活动等课程考核采用“通过”“不通过”两级制记载。相同课程号的课程，其成绩记载</w:t>
      </w:r>
      <w:r>
        <w:rPr>
          <w:rFonts w:hint="eastAsia" w:ascii="宋体" w:hAnsi="宋体" w:eastAsia="宋体" w:cs="宋体"/>
          <w:color w:val="auto"/>
          <w:lang w:eastAsia="zh-CN"/>
        </w:rPr>
        <w:t>（</w:t>
      </w:r>
      <w:r>
        <w:rPr>
          <w:rFonts w:hint="eastAsia" w:ascii="宋体" w:hAnsi="宋体" w:eastAsia="宋体" w:cs="宋体"/>
          <w:color w:val="auto"/>
        </w:rPr>
        <w:t>录入</w:t>
      </w:r>
      <w:r>
        <w:rPr>
          <w:rFonts w:hint="eastAsia" w:ascii="宋体" w:hAnsi="宋体" w:eastAsia="宋体" w:cs="宋体"/>
          <w:color w:val="auto"/>
          <w:lang w:eastAsia="zh-CN"/>
        </w:rPr>
        <w:t>）</w:t>
      </w:r>
      <w:r>
        <w:rPr>
          <w:rFonts w:hint="eastAsia" w:ascii="宋体" w:hAnsi="宋体" w:eastAsia="宋体" w:cs="宋体"/>
          <w:color w:val="auto"/>
        </w:rPr>
        <w:t>方式原则上须相同。</w:t>
      </w:r>
    </w:p>
    <w:p w14:paraId="01930A7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跨校辅修、选修课程按《上海市东北片普通高校合作办学学生跨校学习管理暂行条例》记分。学生参加学校认可的开放式网络课程学习，取得的成绩、学分</w:t>
      </w:r>
      <w:r>
        <w:rPr>
          <w:rFonts w:hint="eastAsia" w:ascii="宋体" w:hAnsi="宋体" w:eastAsia="宋体" w:cs="宋体"/>
          <w:color w:val="auto"/>
          <w:lang w:eastAsia="zh-CN"/>
        </w:rPr>
        <w:t>（</w:t>
      </w:r>
      <w:r>
        <w:rPr>
          <w:rFonts w:hint="eastAsia" w:ascii="宋体" w:hAnsi="宋体" w:eastAsia="宋体" w:cs="宋体"/>
          <w:color w:val="auto"/>
        </w:rPr>
        <w:t>一般不超过4个学分</w:t>
      </w:r>
      <w:r>
        <w:rPr>
          <w:rFonts w:hint="eastAsia" w:ascii="宋体" w:hAnsi="宋体" w:eastAsia="宋体" w:cs="宋体"/>
          <w:color w:val="auto"/>
          <w:lang w:eastAsia="zh-CN"/>
        </w:rPr>
        <w:t>）</w:t>
      </w:r>
      <w:r>
        <w:rPr>
          <w:rFonts w:hint="eastAsia" w:ascii="宋体" w:hAnsi="宋体" w:eastAsia="宋体" w:cs="宋体"/>
          <w:color w:val="auto"/>
        </w:rPr>
        <w:t>经学校审核同意后予以承认，记入成绩单。</w:t>
      </w:r>
    </w:p>
    <w:p w14:paraId="1DBB6D29">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第二十四条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学生参加学校组织或认可的大学生创新创业训 练计划项目、学科竞赛、科学研究及自主创业等活动，取得成效或成绩，经学生申请，院校审核后，可获得创新创业教育学分，计入学业成绩。具体操作参照《上海海洋大学本科生创新创业教育实践学分认定办法》。</w:t>
      </w:r>
    </w:p>
    <w:p w14:paraId="2AFBDC43">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第二十五条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用绩点来综合评定学生的学习质量。</w:t>
      </w:r>
    </w:p>
    <w:p w14:paraId="061A180D">
      <w:pPr>
        <w:keepNext w:val="0"/>
        <w:keepLines w:val="0"/>
        <w:pageBreakBefore w:val="0"/>
        <w:widowControl w:val="0"/>
        <w:numPr>
          <w:ilvl w:val="0"/>
          <w:numId w:val="0"/>
        </w:numPr>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 xml:space="preserve">各类记分方式与绩点的对应关系 </w:t>
      </w:r>
    </w:p>
    <w:p w14:paraId="2FC17EE9">
      <w:pPr>
        <w:keepNext w:val="0"/>
        <w:keepLines w:val="0"/>
        <w:pageBreakBefore w:val="0"/>
        <w:widowControl w:val="0"/>
        <w:numPr>
          <w:ilvl w:val="0"/>
          <w:numId w:val="0"/>
        </w:numPr>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百分制与绩点关系</w:t>
      </w:r>
    </w:p>
    <w:tbl>
      <w:tblPr>
        <w:tblStyle w:val="6"/>
        <w:tblW w:w="6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869"/>
        <w:gridCol w:w="868"/>
        <w:gridCol w:w="849"/>
        <w:gridCol w:w="869"/>
        <w:gridCol w:w="868"/>
        <w:gridCol w:w="874"/>
      </w:tblGrid>
      <w:tr w14:paraId="232C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63" w:type="dxa"/>
            <w:vAlign w:val="top"/>
          </w:tcPr>
          <w:p w14:paraId="0F9A6892">
            <w:pPr>
              <w:pStyle w:val="5"/>
              <w:spacing w:before="173" w:line="220" w:lineRule="auto"/>
              <w:ind w:left="245"/>
              <w:rPr>
                <w:color w:val="auto"/>
              </w:rPr>
            </w:pPr>
            <w:r>
              <w:rPr>
                <w:color w:val="auto"/>
                <w:spacing w:val="-3"/>
              </w:rPr>
              <w:t>成绩</w:t>
            </w:r>
          </w:p>
        </w:tc>
        <w:tc>
          <w:tcPr>
            <w:tcW w:w="869" w:type="dxa"/>
            <w:vAlign w:val="top"/>
          </w:tcPr>
          <w:p w14:paraId="09785195">
            <w:pPr>
              <w:pStyle w:val="5"/>
              <w:spacing w:before="189"/>
              <w:ind w:left="151"/>
              <w:rPr>
                <w:color w:val="auto"/>
              </w:rPr>
            </w:pPr>
            <w:r>
              <w:rPr>
                <w:color w:val="auto"/>
                <w:spacing w:val="-4"/>
              </w:rPr>
              <w:t>100-90</w:t>
            </w:r>
          </w:p>
        </w:tc>
        <w:tc>
          <w:tcPr>
            <w:tcW w:w="868" w:type="dxa"/>
            <w:vAlign w:val="top"/>
          </w:tcPr>
          <w:p w14:paraId="02CB998F">
            <w:pPr>
              <w:pStyle w:val="5"/>
              <w:spacing w:before="189"/>
              <w:ind w:left="203"/>
              <w:rPr>
                <w:color w:val="auto"/>
              </w:rPr>
            </w:pPr>
            <w:r>
              <w:rPr>
                <w:color w:val="auto"/>
                <w:spacing w:val="-2"/>
              </w:rPr>
              <w:t>89-85</w:t>
            </w:r>
          </w:p>
        </w:tc>
        <w:tc>
          <w:tcPr>
            <w:tcW w:w="849" w:type="dxa"/>
            <w:vAlign w:val="top"/>
          </w:tcPr>
          <w:p w14:paraId="66B5B2A5">
            <w:pPr>
              <w:pStyle w:val="5"/>
              <w:spacing w:before="189"/>
              <w:ind w:left="194"/>
              <w:rPr>
                <w:color w:val="auto"/>
              </w:rPr>
            </w:pPr>
            <w:r>
              <w:rPr>
                <w:color w:val="auto"/>
                <w:spacing w:val="-2"/>
              </w:rPr>
              <w:t>84-82</w:t>
            </w:r>
          </w:p>
        </w:tc>
        <w:tc>
          <w:tcPr>
            <w:tcW w:w="869" w:type="dxa"/>
            <w:vAlign w:val="top"/>
          </w:tcPr>
          <w:p w14:paraId="74483269">
            <w:pPr>
              <w:pStyle w:val="5"/>
              <w:spacing w:before="189"/>
              <w:ind w:left="205"/>
              <w:rPr>
                <w:color w:val="auto"/>
              </w:rPr>
            </w:pPr>
            <w:r>
              <w:rPr>
                <w:color w:val="auto"/>
                <w:spacing w:val="-2"/>
              </w:rPr>
              <w:t>81-78</w:t>
            </w:r>
          </w:p>
        </w:tc>
        <w:tc>
          <w:tcPr>
            <w:tcW w:w="868" w:type="dxa"/>
            <w:vAlign w:val="top"/>
          </w:tcPr>
          <w:p w14:paraId="55740C97">
            <w:pPr>
              <w:pStyle w:val="5"/>
              <w:spacing w:before="189"/>
              <w:ind w:left="207"/>
              <w:rPr>
                <w:color w:val="auto"/>
              </w:rPr>
            </w:pPr>
            <w:r>
              <w:rPr>
                <w:color w:val="auto"/>
                <w:spacing w:val="-3"/>
              </w:rPr>
              <w:t>77-75</w:t>
            </w:r>
          </w:p>
        </w:tc>
        <w:tc>
          <w:tcPr>
            <w:tcW w:w="874" w:type="dxa"/>
            <w:vAlign w:val="top"/>
          </w:tcPr>
          <w:p w14:paraId="03493198">
            <w:pPr>
              <w:pStyle w:val="5"/>
              <w:spacing w:before="189"/>
              <w:ind w:left="208"/>
              <w:rPr>
                <w:color w:val="auto"/>
              </w:rPr>
            </w:pPr>
            <w:r>
              <w:rPr>
                <w:color w:val="auto"/>
                <w:spacing w:val="-3"/>
              </w:rPr>
              <w:t>74-72</w:t>
            </w:r>
          </w:p>
        </w:tc>
      </w:tr>
      <w:tr w14:paraId="23D8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863" w:type="dxa"/>
            <w:vAlign w:val="top"/>
          </w:tcPr>
          <w:p w14:paraId="2ED1FA8A">
            <w:pPr>
              <w:pStyle w:val="5"/>
              <w:spacing w:before="181" w:line="220" w:lineRule="auto"/>
              <w:ind w:left="245"/>
              <w:rPr>
                <w:color w:val="auto"/>
              </w:rPr>
            </w:pPr>
            <w:r>
              <w:rPr>
                <w:color w:val="auto"/>
                <w:spacing w:val="8"/>
              </w:rPr>
              <w:t>绩点</w:t>
            </w:r>
          </w:p>
        </w:tc>
        <w:tc>
          <w:tcPr>
            <w:tcW w:w="869" w:type="dxa"/>
            <w:vAlign w:val="top"/>
          </w:tcPr>
          <w:p w14:paraId="517727D3">
            <w:pPr>
              <w:pStyle w:val="5"/>
              <w:spacing w:before="198" w:line="239" w:lineRule="auto"/>
              <w:ind w:left="292"/>
              <w:rPr>
                <w:color w:val="auto"/>
              </w:rPr>
            </w:pPr>
            <w:r>
              <w:rPr>
                <w:color w:val="auto"/>
                <w:spacing w:val="-2"/>
              </w:rPr>
              <w:t>4.0</w:t>
            </w:r>
          </w:p>
        </w:tc>
        <w:tc>
          <w:tcPr>
            <w:tcW w:w="868" w:type="dxa"/>
            <w:vAlign w:val="top"/>
          </w:tcPr>
          <w:p w14:paraId="1C7F713E">
            <w:pPr>
              <w:pStyle w:val="5"/>
              <w:spacing w:before="198" w:line="239" w:lineRule="auto"/>
              <w:ind w:left="292"/>
              <w:rPr>
                <w:color w:val="auto"/>
              </w:rPr>
            </w:pPr>
            <w:r>
              <w:rPr>
                <w:color w:val="auto"/>
                <w:spacing w:val="-3"/>
              </w:rPr>
              <w:t>3.7</w:t>
            </w:r>
          </w:p>
        </w:tc>
        <w:tc>
          <w:tcPr>
            <w:tcW w:w="849" w:type="dxa"/>
            <w:vAlign w:val="top"/>
          </w:tcPr>
          <w:p w14:paraId="5F1E5744">
            <w:pPr>
              <w:pStyle w:val="5"/>
              <w:spacing w:before="198" w:line="239" w:lineRule="auto"/>
              <w:ind w:left="285"/>
              <w:rPr>
                <w:color w:val="auto"/>
              </w:rPr>
            </w:pPr>
            <w:r>
              <w:rPr>
                <w:color w:val="auto"/>
                <w:spacing w:val="-3"/>
              </w:rPr>
              <w:t>3.3</w:t>
            </w:r>
          </w:p>
        </w:tc>
        <w:tc>
          <w:tcPr>
            <w:tcW w:w="869" w:type="dxa"/>
            <w:vAlign w:val="top"/>
          </w:tcPr>
          <w:p w14:paraId="4E271EBC">
            <w:pPr>
              <w:pStyle w:val="5"/>
              <w:spacing w:before="198" w:line="239" w:lineRule="auto"/>
              <w:ind w:left="295"/>
              <w:rPr>
                <w:color w:val="auto"/>
              </w:rPr>
            </w:pPr>
            <w:r>
              <w:rPr>
                <w:color w:val="auto"/>
                <w:spacing w:val="-3"/>
              </w:rPr>
              <w:t>3.0</w:t>
            </w:r>
          </w:p>
        </w:tc>
        <w:tc>
          <w:tcPr>
            <w:tcW w:w="868" w:type="dxa"/>
            <w:vAlign w:val="top"/>
          </w:tcPr>
          <w:p w14:paraId="5C931B17">
            <w:pPr>
              <w:pStyle w:val="5"/>
              <w:spacing w:before="198" w:line="239" w:lineRule="auto"/>
              <w:ind w:left="297"/>
              <w:rPr>
                <w:color w:val="auto"/>
              </w:rPr>
            </w:pPr>
            <w:r>
              <w:rPr>
                <w:color w:val="auto"/>
                <w:spacing w:val="-3"/>
              </w:rPr>
              <w:t>2.7</w:t>
            </w:r>
          </w:p>
        </w:tc>
        <w:tc>
          <w:tcPr>
            <w:tcW w:w="874" w:type="dxa"/>
            <w:vAlign w:val="top"/>
          </w:tcPr>
          <w:p w14:paraId="17F55F2C">
            <w:pPr>
              <w:pStyle w:val="5"/>
              <w:spacing w:before="198" w:line="239" w:lineRule="auto"/>
              <w:ind w:left="298"/>
              <w:rPr>
                <w:color w:val="auto"/>
              </w:rPr>
            </w:pPr>
            <w:r>
              <w:rPr>
                <w:color w:val="auto"/>
                <w:spacing w:val="-3"/>
              </w:rPr>
              <w:t>2.3</w:t>
            </w:r>
          </w:p>
        </w:tc>
      </w:tr>
      <w:tr w14:paraId="0B0AC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863" w:type="dxa"/>
            <w:vAlign w:val="top"/>
          </w:tcPr>
          <w:p w14:paraId="640002FF">
            <w:pPr>
              <w:pStyle w:val="5"/>
              <w:spacing w:before="174" w:line="220" w:lineRule="auto"/>
              <w:ind w:left="245"/>
              <w:rPr>
                <w:color w:val="auto"/>
              </w:rPr>
            </w:pPr>
            <w:r>
              <w:rPr>
                <w:color w:val="auto"/>
                <w:spacing w:val="-3"/>
              </w:rPr>
              <w:t>成绩</w:t>
            </w:r>
          </w:p>
        </w:tc>
        <w:tc>
          <w:tcPr>
            <w:tcW w:w="869" w:type="dxa"/>
            <w:vAlign w:val="top"/>
          </w:tcPr>
          <w:p w14:paraId="7CDD8AF9">
            <w:pPr>
              <w:pStyle w:val="5"/>
              <w:spacing w:before="190"/>
              <w:ind w:left="201"/>
              <w:rPr>
                <w:color w:val="auto"/>
              </w:rPr>
            </w:pPr>
            <w:r>
              <w:rPr>
                <w:color w:val="auto"/>
                <w:spacing w:val="-3"/>
              </w:rPr>
              <w:t>71-68</w:t>
            </w:r>
          </w:p>
        </w:tc>
        <w:tc>
          <w:tcPr>
            <w:tcW w:w="868" w:type="dxa"/>
            <w:vAlign w:val="top"/>
          </w:tcPr>
          <w:p w14:paraId="190400F7">
            <w:pPr>
              <w:pStyle w:val="5"/>
              <w:spacing w:before="190"/>
              <w:ind w:left="203"/>
              <w:rPr>
                <w:color w:val="auto"/>
              </w:rPr>
            </w:pPr>
            <w:r>
              <w:rPr>
                <w:color w:val="auto"/>
                <w:spacing w:val="-2"/>
              </w:rPr>
              <w:t>67-66</w:t>
            </w:r>
          </w:p>
        </w:tc>
        <w:tc>
          <w:tcPr>
            <w:tcW w:w="849" w:type="dxa"/>
            <w:vAlign w:val="top"/>
          </w:tcPr>
          <w:p w14:paraId="4B035250">
            <w:pPr>
              <w:pStyle w:val="5"/>
              <w:spacing w:before="190"/>
              <w:ind w:left="194"/>
              <w:rPr>
                <w:color w:val="auto"/>
              </w:rPr>
            </w:pPr>
            <w:r>
              <w:rPr>
                <w:color w:val="auto"/>
                <w:spacing w:val="-2"/>
              </w:rPr>
              <w:t>65-64</w:t>
            </w:r>
          </w:p>
        </w:tc>
        <w:tc>
          <w:tcPr>
            <w:tcW w:w="869" w:type="dxa"/>
            <w:vAlign w:val="top"/>
          </w:tcPr>
          <w:p w14:paraId="1304BAE6">
            <w:pPr>
              <w:pStyle w:val="5"/>
              <w:spacing w:before="190"/>
              <w:ind w:left="205"/>
              <w:rPr>
                <w:color w:val="auto"/>
              </w:rPr>
            </w:pPr>
            <w:r>
              <w:rPr>
                <w:color w:val="auto"/>
                <w:spacing w:val="-2"/>
              </w:rPr>
              <w:t>63-60</w:t>
            </w:r>
          </w:p>
        </w:tc>
        <w:tc>
          <w:tcPr>
            <w:tcW w:w="868" w:type="dxa"/>
            <w:vAlign w:val="top"/>
          </w:tcPr>
          <w:p w14:paraId="3A518604">
            <w:pPr>
              <w:pStyle w:val="5"/>
              <w:spacing w:before="190"/>
              <w:ind w:left="297"/>
              <w:rPr>
                <w:color w:val="auto"/>
              </w:rPr>
            </w:pPr>
            <w:r>
              <w:rPr>
                <w:color w:val="auto"/>
                <w:spacing w:val="-3"/>
              </w:rPr>
              <w:t>&lt;60</w:t>
            </w:r>
          </w:p>
        </w:tc>
        <w:tc>
          <w:tcPr>
            <w:tcW w:w="874" w:type="dxa"/>
            <w:vAlign w:val="top"/>
          </w:tcPr>
          <w:p w14:paraId="4EEFECEE">
            <w:pPr>
              <w:rPr>
                <w:rFonts w:ascii="Arial"/>
                <w:color w:val="auto"/>
                <w:sz w:val="21"/>
              </w:rPr>
            </w:pPr>
          </w:p>
        </w:tc>
      </w:tr>
      <w:tr w14:paraId="4C1B9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63" w:type="dxa"/>
            <w:vAlign w:val="top"/>
          </w:tcPr>
          <w:p w14:paraId="044DE2BD">
            <w:pPr>
              <w:pStyle w:val="5"/>
              <w:spacing w:before="175" w:line="220" w:lineRule="auto"/>
              <w:ind w:left="245"/>
              <w:rPr>
                <w:color w:val="auto"/>
              </w:rPr>
            </w:pPr>
            <w:r>
              <w:rPr>
                <w:color w:val="auto"/>
                <w:spacing w:val="8"/>
              </w:rPr>
              <w:t>绩点</w:t>
            </w:r>
          </w:p>
        </w:tc>
        <w:tc>
          <w:tcPr>
            <w:tcW w:w="869" w:type="dxa"/>
            <w:vAlign w:val="top"/>
          </w:tcPr>
          <w:p w14:paraId="1FD7C67F">
            <w:pPr>
              <w:pStyle w:val="5"/>
              <w:spacing w:before="193" w:line="239" w:lineRule="auto"/>
              <w:ind w:left="292"/>
              <w:rPr>
                <w:color w:val="auto"/>
              </w:rPr>
            </w:pPr>
            <w:r>
              <w:rPr>
                <w:color w:val="auto"/>
                <w:spacing w:val="-3"/>
              </w:rPr>
              <w:t>2.0</w:t>
            </w:r>
          </w:p>
        </w:tc>
        <w:tc>
          <w:tcPr>
            <w:tcW w:w="868" w:type="dxa"/>
            <w:vAlign w:val="top"/>
          </w:tcPr>
          <w:p w14:paraId="6C220264">
            <w:pPr>
              <w:pStyle w:val="5"/>
              <w:spacing w:before="193" w:line="239" w:lineRule="auto"/>
              <w:ind w:left="292"/>
              <w:rPr>
                <w:color w:val="auto"/>
              </w:rPr>
            </w:pPr>
            <w:r>
              <w:rPr>
                <w:color w:val="auto"/>
                <w:spacing w:val="-5"/>
              </w:rPr>
              <w:t>1.7</w:t>
            </w:r>
          </w:p>
        </w:tc>
        <w:tc>
          <w:tcPr>
            <w:tcW w:w="849" w:type="dxa"/>
            <w:vAlign w:val="top"/>
          </w:tcPr>
          <w:p w14:paraId="13C5489B">
            <w:pPr>
              <w:pStyle w:val="5"/>
              <w:spacing w:before="193" w:line="239" w:lineRule="auto"/>
              <w:ind w:left="285"/>
              <w:rPr>
                <w:color w:val="auto"/>
              </w:rPr>
            </w:pPr>
            <w:r>
              <w:rPr>
                <w:color w:val="auto"/>
                <w:spacing w:val="-5"/>
              </w:rPr>
              <w:t>1.5</w:t>
            </w:r>
          </w:p>
        </w:tc>
        <w:tc>
          <w:tcPr>
            <w:tcW w:w="869" w:type="dxa"/>
            <w:vAlign w:val="top"/>
          </w:tcPr>
          <w:p w14:paraId="062B19EE">
            <w:pPr>
              <w:pStyle w:val="5"/>
              <w:spacing w:before="193" w:line="239" w:lineRule="auto"/>
              <w:ind w:left="295"/>
              <w:rPr>
                <w:color w:val="auto"/>
              </w:rPr>
            </w:pPr>
            <w:r>
              <w:rPr>
                <w:color w:val="auto"/>
                <w:spacing w:val="-5"/>
              </w:rPr>
              <w:t>1.0</w:t>
            </w:r>
          </w:p>
        </w:tc>
        <w:tc>
          <w:tcPr>
            <w:tcW w:w="868" w:type="dxa"/>
            <w:vAlign w:val="top"/>
          </w:tcPr>
          <w:p w14:paraId="0DECB84A">
            <w:pPr>
              <w:pStyle w:val="5"/>
              <w:spacing w:before="192"/>
              <w:ind w:left="386"/>
              <w:rPr>
                <w:color w:val="auto"/>
              </w:rPr>
            </w:pPr>
            <w:r>
              <w:rPr>
                <w:color w:val="auto"/>
              </w:rPr>
              <w:t>0</w:t>
            </w:r>
          </w:p>
        </w:tc>
        <w:tc>
          <w:tcPr>
            <w:tcW w:w="874" w:type="dxa"/>
            <w:vAlign w:val="top"/>
          </w:tcPr>
          <w:p w14:paraId="2A9BD206">
            <w:pPr>
              <w:rPr>
                <w:rFonts w:ascii="Arial"/>
                <w:color w:val="auto"/>
                <w:sz w:val="21"/>
              </w:rPr>
            </w:pPr>
          </w:p>
        </w:tc>
      </w:tr>
    </w:tbl>
    <w:p w14:paraId="7A97FD0F">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color w:val="auto"/>
        </w:rPr>
      </w:pPr>
      <w:r>
        <w:rPr>
          <w:rFonts w:hint="eastAsia"/>
          <w:color w:val="auto"/>
        </w:rPr>
        <w:t>五级记分制与绩点关系</w:t>
      </w:r>
    </w:p>
    <w:tbl>
      <w:tblPr>
        <w:tblStyle w:val="6"/>
        <w:tblW w:w="6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1008"/>
        <w:gridCol w:w="1008"/>
        <w:gridCol w:w="1009"/>
        <w:gridCol w:w="1009"/>
        <w:gridCol w:w="1013"/>
      </w:tblGrid>
      <w:tr w14:paraId="1E7A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013" w:type="dxa"/>
            <w:vAlign w:val="top"/>
          </w:tcPr>
          <w:p w14:paraId="435CCDDC">
            <w:pPr>
              <w:pStyle w:val="5"/>
              <w:spacing w:before="123" w:line="220" w:lineRule="auto"/>
              <w:ind w:left="305"/>
              <w:rPr>
                <w:color w:val="auto"/>
                <w:sz w:val="19"/>
                <w:szCs w:val="19"/>
              </w:rPr>
            </w:pPr>
            <w:r>
              <w:rPr>
                <w:color w:val="auto"/>
                <w:spacing w:val="-3"/>
                <w:sz w:val="19"/>
                <w:szCs w:val="19"/>
              </w:rPr>
              <w:t>成绩</w:t>
            </w:r>
          </w:p>
        </w:tc>
        <w:tc>
          <w:tcPr>
            <w:tcW w:w="1008" w:type="dxa"/>
            <w:vAlign w:val="top"/>
          </w:tcPr>
          <w:p w14:paraId="258A4A3B">
            <w:pPr>
              <w:pStyle w:val="5"/>
              <w:spacing w:before="122" w:line="219" w:lineRule="auto"/>
              <w:ind w:left="301"/>
              <w:rPr>
                <w:color w:val="auto"/>
                <w:sz w:val="19"/>
                <w:szCs w:val="19"/>
              </w:rPr>
            </w:pPr>
            <w:r>
              <w:rPr>
                <w:color w:val="auto"/>
                <w:spacing w:val="-2"/>
                <w:sz w:val="19"/>
                <w:szCs w:val="19"/>
              </w:rPr>
              <w:t>优秀</w:t>
            </w:r>
          </w:p>
        </w:tc>
        <w:tc>
          <w:tcPr>
            <w:tcW w:w="1008" w:type="dxa"/>
            <w:vAlign w:val="top"/>
          </w:tcPr>
          <w:p w14:paraId="0108B180">
            <w:pPr>
              <w:pStyle w:val="5"/>
              <w:spacing w:before="122" w:line="219" w:lineRule="auto"/>
              <w:ind w:left="303"/>
              <w:rPr>
                <w:color w:val="auto"/>
                <w:sz w:val="19"/>
                <w:szCs w:val="19"/>
              </w:rPr>
            </w:pPr>
            <w:r>
              <w:rPr>
                <w:color w:val="auto"/>
                <w:spacing w:val="7"/>
                <w:sz w:val="19"/>
                <w:szCs w:val="19"/>
              </w:rPr>
              <w:t>良好</w:t>
            </w:r>
          </w:p>
        </w:tc>
        <w:tc>
          <w:tcPr>
            <w:tcW w:w="1009" w:type="dxa"/>
            <w:vAlign w:val="top"/>
          </w:tcPr>
          <w:p w14:paraId="12AB7864">
            <w:pPr>
              <w:pStyle w:val="5"/>
              <w:spacing w:before="122" w:line="219" w:lineRule="auto"/>
              <w:ind w:left="305"/>
              <w:rPr>
                <w:color w:val="auto"/>
                <w:sz w:val="19"/>
                <w:szCs w:val="19"/>
              </w:rPr>
            </w:pPr>
            <w:r>
              <w:rPr>
                <w:color w:val="auto"/>
                <w:spacing w:val="4"/>
                <w:sz w:val="19"/>
                <w:szCs w:val="19"/>
              </w:rPr>
              <w:t>中等</w:t>
            </w:r>
          </w:p>
        </w:tc>
        <w:tc>
          <w:tcPr>
            <w:tcW w:w="1009" w:type="dxa"/>
            <w:vAlign w:val="top"/>
          </w:tcPr>
          <w:p w14:paraId="240CDFB3">
            <w:pPr>
              <w:pStyle w:val="5"/>
              <w:spacing w:before="122" w:line="219" w:lineRule="auto"/>
              <w:ind w:left="306"/>
              <w:rPr>
                <w:color w:val="auto"/>
                <w:sz w:val="19"/>
                <w:szCs w:val="19"/>
              </w:rPr>
            </w:pPr>
            <w:r>
              <w:rPr>
                <w:color w:val="auto"/>
                <w:spacing w:val="-2"/>
                <w:sz w:val="19"/>
                <w:szCs w:val="19"/>
              </w:rPr>
              <w:t>及格</w:t>
            </w:r>
          </w:p>
        </w:tc>
        <w:tc>
          <w:tcPr>
            <w:tcW w:w="1013" w:type="dxa"/>
            <w:vAlign w:val="top"/>
          </w:tcPr>
          <w:p w14:paraId="6BF22AAD">
            <w:pPr>
              <w:pStyle w:val="5"/>
              <w:spacing w:before="122" w:line="219" w:lineRule="auto"/>
              <w:ind w:left="218"/>
              <w:rPr>
                <w:color w:val="auto"/>
                <w:sz w:val="19"/>
                <w:szCs w:val="19"/>
              </w:rPr>
            </w:pPr>
            <w:r>
              <w:rPr>
                <w:color w:val="auto"/>
                <w:spacing w:val="-3"/>
                <w:sz w:val="19"/>
                <w:szCs w:val="19"/>
              </w:rPr>
              <w:t>不及格</w:t>
            </w:r>
          </w:p>
        </w:tc>
      </w:tr>
      <w:tr w14:paraId="64089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013" w:type="dxa"/>
            <w:vAlign w:val="top"/>
          </w:tcPr>
          <w:p w14:paraId="57B6AF42">
            <w:pPr>
              <w:pStyle w:val="5"/>
              <w:spacing w:before="143" w:line="220" w:lineRule="auto"/>
              <w:ind w:left="305"/>
              <w:rPr>
                <w:color w:val="auto"/>
                <w:sz w:val="19"/>
                <w:szCs w:val="19"/>
              </w:rPr>
            </w:pPr>
            <w:r>
              <w:rPr>
                <w:color w:val="auto"/>
                <w:spacing w:val="8"/>
                <w:sz w:val="19"/>
                <w:szCs w:val="19"/>
              </w:rPr>
              <w:t>绩点</w:t>
            </w:r>
          </w:p>
        </w:tc>
        <w:tc>
          <w:tcPr>
            <w:tcW w:w="1008" w:type="dxa"/>
            <w:vAlign w:val="top"/>
          </w:tcPr>
          <w:p w14:paraId="48BE7C6C">
            <w:pPr>
              <w:pStyle w:val="5"/>
              <w:spacing w:before="161" w:line="239" w:lineRule="auto"/>
              <w:ind w:left="352"/>
              <w:rPr>
                <w:color w:val="auto"/>
                <w:sz w:val="19"/>
                <w:szCs w:val="19"/>
              </w:rPr>
            </w:pPr>
            <w:r>
              <w:rPr>
                <w:color w:val="auto"/>
                <w:spacing w:val="-2"/>
                <w:sz w:val="19"/>
                <w:szCs w:val="19"/>
              </w:rPr>
              <w:t>4.0</w:t>
            </w:r>
          </w:p>
        </w:tc>
        <w:tc>
          <w:tcPr>
            <w:tcW w:w="1008" w:type="dxa"/>
            <w:vAlign w:val="top"/>
          </w:tcPr>
          <w:p w14:paraId="688BEB9B">
            <w:pPr>
              <w:pStyle w:val="5"/>
              <w:spacing w:before="161" w:line="239" w:lineRule="auto"/>
              <w:ind w:left="353"/>
              <w:rPr>
                <w:color w:val="auto"/>
                <w:sz w:val="19"/>
                <w:szCs w:val="19"/>
              </w:rPr>
            </w:pPr>
            <w:r>
              <w:rPr>
                <w:color w:val="auto"/>
                <w:spacing w:val="-3"/>
                <w:sz w:val="19"/>
                <w:szCs w:val="19"/>
              </w:rPr>
              <w:t>3.3</w:t>
            </w:r>
          </w:p>
        </w:tc>
        <w:tc>
          <w:tcPr>
            <w:tcW w:w="1009" w:type="dxa"/>
            <w:vAlign w:val="top"/>
          </w:tcPr>
          <w:p w14:paraId="50336534">
            <w:pPr>
              <w:pStyle w:val="5"/>
              <w:spacing w:before="161" w:line="239" w:lineRule="auto"/>
              <w:ind w:left="355"/>
              <w:rPr>
                <w:color w:val="auto"/>
                <w:sz w:val="19"/>
                <w:szCs w:val="19"/>
              </w:rPr>
            </w:pPr>
            <w:r>
              <w:rPr>
                <w:color w:val="auto"/>
                <w:spacing w:val="-3"/>
                <w:sz w:val="19"/>
                <w:szCs w:val="19"/>
              </w:rPr>
              <w:t>2.3</w:t>
            </w:r>
          </w:p>
        </w:tc>
        <w:tc>
          <w:tcPr>
            <w:tcW w:w="1009" w:type="dxa"/>
            <w:vAlign w:val="top"/>
          </w:tcPr>
          <w:p w14:paraId="5D9F24AA">
            <w:pPr>
              <w:pStyle w:val="5"/>
              <w:spacing w:before="161" w:line="239" w:lineRule="auto"/>
              <w:ind w:left="356"/>
              <w:rPr>
                <w:color w:val="auto"/>
                <w:sz w:val="19"/>
                <w:szCs w:val="19"/>
              </w:rPr>
            </w:pPr>
            <w:r>
              <w:rPr>
                <w:color w:val="auto"/>
                <w:spacing w:val="-5"/>
                <w:sz w:val="19"/>
                <w:szCs w:val="19"/>
              </w:rPr>
              <w:t>1.0</w:t>
            </w:r>
          </w:p>
        </w:tc>
        <w:tc>
          <w:tcPr>
            <w:tcW w:w="1013" w:type="dxa"/>
            <w:vAlign w:val="top"/>
          </w:tcPr>
          <w:p w14:paraId="0F955656">
            <w:pPr>
              <w:pStyle w:val="5"/>
              <w:spacing w:before="161"/>
              <w:ind w:left="447"/>
              <w:rPr>
                <w:color w:val="auto"/>
                <w:sz w:val="19"/>
                <w:szCs w:val="19"/>
              </w:rPr>
            </w:pPr>
            <w:r>
              <w:rPr>
                <w:color w:val="auto"/>
                <w:sz w:val="19"/>
                <w:szCs w:val="19"/>
              </w:rPr>
              <w:t>0</w:t>
            </w:r>
          </w:p>
        </w:tc>
      </w:tr>
    </w:tbl>
    <w:p w14:paraId="20B023D8">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color w:val="auto"/>
        </w:rPr>
      </w:pPr>
      <w:r>
        <w:rPr>
          <w:rFonts w:hint="eastAsia"/>
          <w:color w:val="auto"/>
        </w:rPr>
        <w:t>两级记分制与绩点关系</w:t>
      </w:r>
    </w:p>
    <w:tbl>
      <w:tblPr>
        <w:tblStyle w:val="6"/>
        <w:tblW w:w="6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1"/>
        <w:gridCol w:w="2017"/>
        <w:gridCol w:w="2022"/>
      </w:tblGrid>
      <w:tr w14:paraId="5EBF3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021" w:type="dxa"/>
            <w:vAlign w:val="top"/>
          </w:tcPr>
          <w:p w14:paraId="40B93BF8">
            <w:pPr>
              <w:pStyle w:val="5"/>
              <w:spacing w:before="102" w:line="220" w:lineRule="auto"/>
              <w:ind w:left="825"/>
              <w:rPr>
                <w:color w:val="auto"/>
              </w:rPr>
            </w:pPr>
            <w:r>
              <w:rPr>
                <w:color w:val="auto"/>
                <w:spacing w:val="-3"/>
              </w:rPr>
              <w:t>成绩</w:t>
            </w:r>
          </w:p>
        </w:tc>
        <w:tc>
          <w:tcPr>
            <w:tcW w:w="2017" w:type="dxa"/>
            <w:vAlign w:val="top"/>
          </w:tcPr>
          <w:p w14:paraId="193D8D9B">
            <w:pPr>
              <w:pStyle w:val="5"/>
              <w:spacing w:before="108" w:line="227" w:lineRule="auto"/>
              <w:ind w:left="823"/>
              <w:rPr>
                <w:color w:val="auto"/>
              </w:rPr>
            </w:pPr>
            <w:r>
              <w:rPr>
                <w:color w:val="auto"/>
                <w:spacing w:val="-2"/>
              </w:rPr>
              <w:t>通过</w:t>
            </w:r>
          </w:p>
        </w:tc>
        <w:tc>
          <w:tcPr>
            <w:tcW w:w="2022" w:type="dxa"/>
            <w:vAlign w:val="top"/>
          </w:tcPr>
          <w:p w14:paraId="6DF2E7F9">
            <w:pPr>
              <w:pStyle w:val="5"/>
              <w:spacing w:before="105" w:line="222" w:lineRule="auto"/>
              <w:ind w:left="737"/>
              <w:rPr>
                <w:color w:val="auto"/>
              </w:rPr>
            </w:pPr>
            <w:r>
              <w:rPr>
                <w:color w:val="auto"/>
                <w:spacing w:val="-3"/>
              </w:rPr>
              <w:t>不通过</w:t>
            </w:r>
          </w:p>
        </w:tc>
      </w:tr>
      <w:tr w14:paraId="02435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2021" w:type="dxa"/>
            <w:vAlign w:val="top"/>
          </w:tcPr>
          <w:p w14:paraId="24B38CF3">
            <w:pPr>
              <w:pStyle w:val="5"/>
              <w:spacing w:before="113" w:line="220" w:lineRule="auto"/>
              <w:ind w:left="825"/>
              <w:rPr>
                <w:color w:val="auto"/>
              </w:rPr>
            </w:pPr>
            <w:r>
              <w:rPr>
                <w:color w:val="auto"/>
                <w:spacing w:val="8"/>
              </w:rPr>
              <w:t>绩点</w:t>
            </w:r>
          </w:p>
        </w:tc>
        <w:tc>
          <w:tcPr>
            <w:tcW w:w="2017" w:type="dxa"/>
            <w:vAlign w:val="top"/>
          </w:tcPr>
          <w:p w14:paraId="635ED584">
            <w:pPr>
              <w:pStyle w:val="5"/>
              <w:spacing w:before="130" w:line="239" w:lineRule="auto"/>
              <w:ind w:left="864"/>
              <w:rPr>
                <w:color w:val="auto"/>
              </w:rPr>
            </w:pPr>
            <w:r>
              <w:rPr>
                <w:color w:val="auto"/>
                <w:spacing w:val="-3"/>
              </w:rPr>
              <w:t>3.3</w:t>
            </w:r>
          </w:p>
        </w:tc>
        <w:tc>
          <w:tcPr>
            <w:tcW w:w="2022" w:type="dxa"/>
            <w:vAlign w:val="top"/>
          </w:tcPr>
          <w:p w14:paraId="0B7BE144">
            <w:pPr>
              <w:pStyle w:val="5"/>
              <w:spacing w:before="129"/>
              <w:ind w:left="957"/>
              <w:rPr>
                <w:color w:val="auto"/>
              </w:rPr>
            </w:pPr>
            <w:r>
              <w:rPr>
                <w:color w:val="auto"/>
              </w:rPr>
              <w:t>0</w:t>
            </w:r>
          </w:p>
        </w:tc>
      </w:tr>
    </w:tbl>
    <w:p w14:paraId="4B6AEEB1">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学分绩点和平均学分绩点的计算方法</w:t>
      </w:r>
    </w:p>
    <w:p w14:paraId="3102A300">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rPr>
        <w:t>将某一课程的学分乘以该课程所得绩点，即为该课程的学分绩点；</w:t>
      </w:r>
    </w:p>
    <w:p w14:paraId="093C55AB">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rPr>
        <w:t>将学生在一学期(一学年或全学程)内修读的全部课程 所得的学分绩点之和，除以该生同期修读的学分总数为该生的平均学分绩点，即：</w:t>
      </w:r>
    </w:p>
    <w:p w14:paraId="63002E82">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jc w:val="center"/>
        <w:textAlignment w:val="auto"/>
        <w:rPr>
          <w:rFonts w:hint="eastAsia" w:ascii="宋体" w:hAnsi="宋体" w:eastAsia="宋体" w:cs="宋体"/>
          <w:color w:val="auto"/>
        </w:rPr>
      </w:pPr>
      <w:r>
        <w:rPr>
          <w:rFonts w:hint="eastAsia" w:ascii="宋体" w:hAnsi="宋体" w:eastAsia="宋体" w:cs="宋体"/>
          <w:color w:val="auto"/>
        </w:rPr>
        <w:drawing>
          <wp:inline distT="0" distB="0" distL="0" distR="0">
            <wp:extent cx="2356485" cy="324485"/>
            <wp:effectExtent l="0" t="0" r="5715" b="1841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
                    <a:stretch>
                      <a:fillRect/>
                    </a:stretch>
                  </pic:blipFill>
                  <pic:spPr>
                    <a:xfrm>
                      <a:off x="0" y="0"/>
                      <a:ext cx="2356613" cy="324600"/>
                    </a:xfrm>
                    <a:prstGeom prst="rect">
                      <a:avLst/>
                    </a:prstGeom>
                  </pic:spPr>
                </pic:pic>
              </a:graphicData>
            </a:graphic>
          </wp:inline>
        </w:drawing>
      </w:r>
    </w:p>
    <w:p w14:paraId="472285B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楷体" w:hAnsi="楷体" w:eastAsia="楷体" w:cs="楷体"/>
          <w:color w:val="auto"/>
        </w:rPr>
      </w:pPr>
      <w:r>
        <w:rPr>
          <w:rFonts w:hint="eastAsia" w:ascii="楷体" w:hAnsi="楷体" w:eastAsia="楷体" w:cs="楷体"/>
          <w:color w:val="auto"/>
        </w:rPr>
        <w:t>注：学生在一学年或全学程内多次修读同一门课程(课程号相同),取该课程最高成绩纳入平均学分绩点计算。</w:t>
      </w:r>
    </w:p>
    <w:p w14:paraId="2E46726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rPr>
        <w:t>平均学分绩点有学期、学年和全学程平均学分绩点之分。学生的学期(或学年)平均学分绩点，每学期(或每学年)算一次，它是衡量学生学习质量的重要指标，可以作为学生学业继续、奖学金评定以及申请转专业、申请辅修专业等重要依据。</w:t>
      </w:r>
    </w:p>
    <w:p w14:paraId="6FE408BD">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第五章  免听与免修</w:t>
      </w:r>
    </w:p>
    <w:p w14:paraId="76C32D0A">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jc w:val="both"/>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第二十六条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学生因重修课程与其他课程的上课时间有冲突</w:t>
      </w:r>
      <w:r>
        <w:rPr>
          <w:rFonts w:hint="eastAsia" w:ascii="宋体" w:hAnsi="宋体" w:eastAsia="宋体" w:cs="宋体"/>
          <w:color w:val="auto"/>
          <w:lang w:eastAsia="zh-CN"/>
        </w:rPr>
        <w:t>，</w:t>
      </w:r>
      <w:r>
        <w:rPr>
          <w:rFonts w:hint="eastAsia" w:ascii="宋体" w:hAnsi="宋体" w:eastAsia="宋体" w:cs="宋体"/>
          <w:color w:val="auto"/>
        </w:rPr>
        <w:t>可根据《上海海洋大学本科生选课、退课、免听、免修课程实施细则》申请免听，参加课程考核，考核成绩按实记载。</w:t>
      </w:r>
    </w:p>
    <w:p w14:paraId="42B7302C">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jc w:val="both"/>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第二十七条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学生对所选的某门课程通过自学已达到该课程的教学要求，可申请参加该门课程的免修考核，成绩合格者，给予学分。</w:t>
      </w:r>
    </w:p>
    <w:p w14:paraId="4E896F14">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jc w:val="both"/>
        <w:textAlignment w:val="auto"/>
        <w:rPr>
          <w:rFonts w:hint="eastAsia" w:ascii="宋体" w:hAnsi="宋体" w:eastAsia="宋体" w:cs="宋体"/>
          <w:color w:val="auto"/>
        </w:rPr>
      </w:pPr>
      <w:r>
        <w:rPr>
          <w:rFonts w:hint="eastAsia" w:ascii="宋体" w:hAnsi="宋体" w:eastAsia="宋体" w:cs="宋体"/>
          <w:color w:val="auto"/>
        </w:rPr>
        <w:t>学生下学期某门课程拟要求免修，可在学期末选课结束后，向所在学院提出免修申请，由学生所在学院和课程所在学院审核，报教务处批准，经批准后参加免修考核。免修考试时间通常安排在每学期初补缓考时进行。</w:t>
      </w:r>
    </w:p>
    <w:p w14:paraId="1C7D36C7">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jc w:val="both"/>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第二十八条</w:t>
      </w:r>
      <w:r>
        <w:rPr>
          <w:rFonts w:hint="eastAsia" w:ascii="宋体" w:hAnsi="宋体" w:eastAsia="宋体" w:cs="宋体"/>
          <w:color w:val="auto"/>
        </w:rPr>
        <w:t xml:space="preserve">  以下课程(环节)不得申请免听和免修：</w:t>
      </w:r>
    </w:p>
    <w:p w14:paraId="5C682B26">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jc w:val="both"/>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思想政治理论课、体育课、实验课</w:t>
      </w:r>
      <w:r>
        <w:rPr>
          <w:rFonts w:hint="eastAsia" w:ascii="宋体" w:hAnsi="宋体" w:eastAsia="宋体" w:cs="宋体"/>
          <w:color w:val="auto"/>
          <w:lang w:eastAsia="zh-CN"/>
        </w:rPr>
        <w:t>（</w:t>
      </w:r>
      <w:r>
        <w:rPr>
          <w:rFonts w:hint="eastAsia" w:ascii="宋体" w:hAnsi="宋体" w:eastAsia="宋体" w:cs="宋体"/>
          <w:color w:val="auto"/>
        </w:rPr>
        <w:t>或含有实验、实习的课程</w:t>
      </w:r>
      <w:r>
        <w:rPr>
          <w:rFonts w:hint="eastAsia" w:ascii="宋体" w:hAnsi="宋体" w:eastAsia="宋体" w:cs="宋体"/>
          <w:color w:val="auto"/>
          <w:lang w:eastAsia="zh-CN"/>
        </w:rPr>
        <w:t>）</w:t>
      </w:r>
      <w:r>
        <w:rPr>
          <w:rFonts w:hint="eastAsia" w:ascii="宋体" w:hAnsi="宋体" w:eastAsia="宋体" w:cs="宋体"/>
          <w:color w:val="auto"/>
        </w:rPr>
        <w:t>;</w:t>
      </w:r>
    </w:p>
    <w:p w14:paraId="73D13BEA">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jc w:val="both"/>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实习、课程设计、毕业设计(论文)等实践性教学环节。</w:t>
      </w:r>
    </w:p>
    <w:p w14:paraId="28083644">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第六章  辅  修</w:t>
      </w:r>
    </w:p>
    <w:p w14:paraId="5E7CAA6E">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color w:val="auto"/>
        </w:rPr>
      </w:pPr>
      <w:r>
        <w:rPr>
          <w:rFonts w:hint="eastAsia" w:ascii="黑体" w:hAnsi="黑体" w:eastAsia="黑体" w:cs="黑体"/>
          <w:snapToGrid w:val="0"/>
          <w:color w:val="auto"/>
          <w:spacing w:val="-1"/>
          <w:kern w:val="0"/>
          <w:sz w:val="21"/>
          <w:szCs w:val="21"/>
          <w:lang w:val="en-US" w:eastAsia="en-US" w:bidi="ar-SA"/>
        </w:rPr>
        <w:t>第二十九条</w:t>
      </w:r>
      <w:r>
        <w:rPr>
          <w:rFonts w:hint="eastAsia" w:ascii="宋体" w:hAnsi="宋体" w:eastAsia="宋体" w:cs="宋体"/>
          <w:color w:val="auto"/>
        </w:rPr>
        <w:t xml:space="preserve">  校内辅修按照《上海海洋大学本科学生辅修专业教育实施办法》执行，跨校辅修按照《上海市东北片普通高校合作办学学生跨校学习管理暂行条例》执行。</w:t>
      </w:r>
    </w:p>
    <w:p w14:paraId="3D71661F">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第七章  转专业与转学</w:t>
      </w:r>
    </w:p>
    <w:p w14:paraId="70FD8EC0">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第三十条</w:t>
      </w:r>
      <w:r>
        <w:rPr>
          <w:rFonts w:hint="eastAsia" w:ascii="宋体" w:hAnsi="宋体" w:eastAsia="宋体" w:cs="宋体"/>
          <w:color w:val="auto"/>
        </w:rPr>
        <w:t xml:space="preserve">  为给学生以更大的学习自主权和选择权，准许本科学生在第一、二学年申请转专业。</w:t>
      </w:r>
    </w:p>
    <w:p w14:paraId="4B3DEACC">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第三十一条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转专业接收名额一般不低于本专业同年级原招生数的10%。</w:t>
      </w:r>
    </w:p>
    <w:p w14:paraId="3C2F58AB">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第三十二条</w:t>
      </w:r>
      <w:r>
        <w:rPr>
          <w:rFonts w:hint="eastAsia" w:ascii="宋体" w:hAnsi="宋体" w:eastAsia="宋体" w:cs="宋体"/>
          <w:color w:val="auto"/>
        </w:rPr>
        <w:t xml:space="preserve">  具体操作见《上海海洋大学本科生转专业实施细则》。</w:t>
      </w:r>
    </w:p>
    <w:p w14:paraId="139373E5">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第三十三条</w:t>
      </w:r>
      <w:r>
        <w:rPr>
          <w:rFonts w:hint="eastAsia" w:ascii="宋体" w:hAnsi="宋体" w:eastAsia="宋体" w:cs="宋体"/>
          <w:color w:val="auto"/>
        </w:rPr>
        <w:t xml:space="preserve">  按类别招生的学生，将在规定学期后再行确定专业。具体见《上海海洋大学按类别招生学生确定专业实施细则》</w:t>
      </w:r>
    </w:p>
    <w:p w14:paraId="0FFBD6E2">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第三十四条</w:t>
      </w:r>
      <w:r>
        <w:rPr>
          <w:rFonts w:hint="eastAsia" w:ascii="宋体" w:hAnsi="宋体" w:eastAsia="宋体" w:cs="宋体"/>
          <w:color w:val="auto"/>
        </w:rPr>
        <w:t xml:space="preserve">  符合下列情况之一的学生可申请转专业：</w:t>
      </w:r>
    </w:p>
    <w:p w14:paraId="7FDD2FD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符合国家和学校有关规定的创业复学、应征退伍复学者；</w:t>
      </w:r>
    </w:p>
    <w:p w14:paraId="304B008E">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学生入学后发现某种疾病或生理缺陷，经学校指定医院检查证明，由校门诊部签署意见，不能在原专业学习，但尚能在本校其他专业学习者；</w:t>
      </w:r>
    </w:p>
    <w:p w14:paraId="4DEF82DB">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经学校认可，学生确有某种特殊困难，不转专业无法继续学习者；</w:t>
      </w:r>
    </w:p>
    <w:p w14:paraId="767FF639">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rPr>
        <w:t>学生对其他专业有兴趣和专长的。</w:t>
      </w:r>
    </w:p>
    <w:p w14:paraId="61D5EC3F">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学生转专业，由学生本人申请，经原所在学院同意，申请转入专业所在学院考核同意，提出拟编入的年级、班级意见，教务处审核，报分管校长批准。</w:t>
      </w:r>
    </w:p>
    <w:p w14:paraId="13A0B680">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第三十五条</w:t>
      </w:r>
      <w:r>
        <w:rPr>
          <w:rFonts w:hint="eastAsia" w:ascii="宋体" w:hAnsi="宋体" w:eastAsia="宋体" w:cs="宋体"/>
          <w:color w:val="auto"/>
        </w:rPr>
        <w:t xml:space="preserve"> 学生有下列情况之一者，不受理转专业申请：</w:t>
      </w:r>
    </w:p>
    <w:p w14:paraId="53A39F3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以特殊招生形式录取的学生，国家有相关规定或者录 取前与学校有明确约定的，不得转专业；</w:t>
      </w:r>
    </w:p>
    <w:p w14:paraId="7F80F051">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入学未满一学期或超过三学年及以上者；</w:t>
      </w:r>
    </w:p>
    <w:p w14:paraId="309D85C2">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已转过专业者；</w:t>
      </w:r>
    </w:p>
    <w:p w14:paraId="1217AB62">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rPr>
        <w:t>其他无正当理由者。</w:t>
      </w:r>
    </w:p>
    <w:p w14:paraId="43A60D6E">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第三十六条</w:t>
      </w:r>
      <w:r>
        <w:rPr>
          <w:rFonts w:hint="eastAsia" w:ascii="宋体" w:hAnsi="宋体" w:eastAsia="宋体" w:cs="宋体"/>
          <w:color w:val="auto"/>
        </w:rPr>
        <w:t xml:space="preserve">  学生转专业后，原已获得的学分符合转入专业培养计划规定要求的，经转入学院和教务处确认后予以认定，不符合要求的，作为专业相关选修课成绩记载。</w:t>
      </w:r>
    </w:p>
    <w:p w14:paraId="53538DFD">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第三十七条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学生有下列情形之一，不得转学：</w:t>
      </w:r>
    </w:p>
    <w:p w14:paraId="20E4E3B7">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入学未满一学期或者毕业前一年的；</w:t>
      </w:r>
    </w:p>
    <w:p w14:paraId="6F6D504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高考成绩低于拟转入学校相关专业同一生源地相应年份录取成绩的；</w:t>
      </w:r>
    </w:p>
    <w:p w14:paraId="3F561AFB">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由低学历层次转为高学历层次的；</w:t>
      </w:r>
    </w:p>
    <w:p w14:paraId="43081774">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rPr>
        <w:t>以定向就业招生录取的；</w:t>
      </w:r>
    </w:p>
    <w:p w14:paraId="2E43DB11">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五）</w:t>
      </w:r>
      <w:r>
        <w:rPr>
          <w:rFonts w:hint="eastAsia" w:ascii="宋体" w:hAnsi="宋体" w:eastAsia="宋体" w:cs="宋体"/>
          <w:color w:val="auto"/>
        </w:rPr>
        <w:t>无正当转学理由的。</w:t>
      </w:r>
    </w:p>
    <w:p w14:paraId="181706E5">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第三十八条</w:t>
      </w:r>
      <w:r>
        <w:rPr>
          <w:rFonts w:hint="eastAsia" w:ascii="宋体" w:hAnsi="宋体" w:eastAsia="宋体" w:cs="宋体"/>
          <w:color w:val="auto"/>
        </w:rPr>
        <w:t xml:space="preserve">  学生转学按下列规定办理：</w:t>
      </w:r>
    </w:p>
    <w:p w14:paraId="04B1AC8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学生转学，经两校同意，由转入学校负责审核转学条件及相关证明，认为符合本校培养要求且学校有培养能力的，经 学校校长办公会或者专题会议研究决定，可以转入。由转出学校报所在地省级教育行政部门确认转学理由正当，可以办理转学手续；跨省转学者由转出地省级教育行政部门商转入地省级教育行政部门，按转学条件确认后办理转学手续。须转户口的由转入地 省级教育行政部门将有关文件抄送转入学校所在地公安机关；</w:t>
      </w:r>
    </w:p>
    <w:p w14:paraId="53181521">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凡因转学需要延长修读年限者，所需费用由本人承担；</w:t>
      </w:r>
    </w:p>
    <w:p w14:paraId="54D8C7E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学生转学须具备以下证明材料：</w:t>
      </w:r>
    </w:p>
    <w:p w14:paraId="62994D9A">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rPr>
        <w:t>转学申请、成绩单、“高等学校招生新生录取名册”</w:t>
      </w:r>
      <w:r>
        <w:rPr>
          <w:rFonts w:hint="eastAsia" w:ascii="宋体" w:hAnsi="宋体" w:eastAsia="宋体" w:cs="宋体"/>
          <w:color w:val="auto"/>
          <w:lang w:eastAsia="zh-CN"/>
        </w:rPr>
        <w:t>（</w:t>
      </w:r>
      <w:r>
        <w:rPr>
          <w:rFonts w:hint="eastAsia" w:ascii="宋体" w:hAnsi="宋体" w:eastAsia="宋体" w:cs="宋体"/>
          <w:color w:val="auto"/>
        </w:rPr>
        <w:t>加盖学校公章的复印件</w:t>
      </w:r>
      <w:r>
        <w:rPr>
          <w:rFonts w:hint="eastAsia" w:ascii="宋体" w:hAnsi="宋体" w:eastAsia="宋体" w:cs="宋体"/>
          <w:color w:val="auto"/>
          <w:lang w:eastAsia="zh-CN"/>
        </w:rPr>
        <w:t>）</w:t>
      </w:r>
      <w:r>
        <w:rPr>
          <w:rFonts w:hint="eastAsia" w:ascii="宋体" w:hAnsi="宋体" w:eastAsia="宋体" w:cs="宋体"/>
          <w:color w:val="auto"/>
        </w:rPr>
        <w:t>;</w:t>
      </w:r>
    </w:p>
    <w:p w14:paraId="7CBD0576">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rPr>
        <w:t>以健康原因申请转学的，须出具医院病情证明书；</w:t>
      </w:r>
    </w:p>
    <w:p w14:paraId="1B182A1A">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rPr>
        <w:t>凡确有专长申请转学的，须出具有关的作品、获奖证书及有关专家的意见；</w:t>
      </w:r>
    </w:p>
    <w:p w14:paraId="55E44881">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rPr>
        <w:t>其他特殊原因转学的，须出具相应的证明。</w:t>
      </w:r>
    </w:p>
    <w:p w14:paraId="38FF88D2">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未获准转专业(或转学)的学生，应继续参加原学院、原专业的教育教学活动；</w:t>
      </w:r>
    </w:p>
    <w:p w14:paraId="05DC22FA">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rPr>
        <w:t>上述学生转学，由学生本人申请，说明理由，经相关部门和学院提出意见，学生处负责审核并经公示无异议后，由校长办公会研究决定；</w:t>
      </w:r>
    </w:p>
    <w:p w14:paraId="7E60B0D5">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五）</w:t>
      </w:r>
      <w:r>
        <w:rPr>
          <w:rFonts w:hint="eastAsia" w:ascii="宋体" w:hAnsi="宋体" w:eastAsia="宋体" w:cs="宋体"/>
          <w:color w:val="auto"/>
        </w:rPr>
        <w:t>转学完成后3个月内，由学生处报上海市教育委员会备案。</w:t>
      </w:r>
    </w:p>
    <w:p w14:paraId="492C6CCB">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第八章 保留学籍、休学与复学</w:t>
      </w:r>
    </w:p>
    <w:p w14:paraId="4FAF3EF8">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第三十九条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学生可以分阶段完成学业，除另有规定外，应当在学校规定的最长学习年限</w:t>
      </w:r>
      <w:r>
        <w:rPr>
          <w:rFonts w:hint="eastAsia" w:ascii="宋体" w:hAnsi="宋体" w:eastAsia="宋体" w:cs="宋体"/>
          <w:color w:val="auto"/>
          <w:lang w:eastAsia="zh-CN"/>
        </w:rPr>
        <w:t>（</w:t>
      </w:r>
      <w:r>
        <w:rPr>
          <w:rFonts w:hint="eastAsia" w:ascii="宋体" w:hAnsi="宋体" w:eastAsia="宋体" w:cs="宋体"/>
          <w:color w:val="auto"/>
        </w:rPr>
        <w:t>含休学和保留学籍</w:t>
      </w:r>
      <w:r>
        <w:rPr>
          <w:rFonts w:hint="eastAsia" w:ascii="宋体" w:hAnsi="宋体" w:eastAsia="宋体" w:cs="宋体"/>
          <w:color w:val="auto"/>
          <w:lang w:eastAsia="zh-CN"/>
        </w:rPr>
        <w:t>）</w:t>
      </w:r>
      <w:r>
        <w:rPr>
          <w:rFonts w:hint="eastAsia" w:ascii="宋体" w:hAnsi="宋体" w:eastAsia="宋体" w:cs="宋体"/>
          <w:color w:val="auto"/>
        </w:rPr>
        <w:t>内完成学业。</w:t>
      </w:r>
    </w:p>
    <w:p w14:paraId="0A9DC254">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第四十条</w:t>
      </w:r>
      <w:r>
        <w:rPr>
          <w:rFonts w:hint="eastAsia" w:ascii="宋体" w:hAnsi="宋体" w:eastAsia="宋体" w:cs="宋体"/>
          <w:color w:val="auto"/>
        </w:rPr>
        <w:t xml:space="preserve">  在校学生应征参加中国人民解放军</w:t>
      </w:r>
      <w:r>
        <w:rPr>
          <w:rFonts w:hint="eastAsia" w:ascii="宋体" w:hAnsi="宋体" w:eastAsia="宋体" w:cs="宋体"/>
          <w:color w:val="auto"/>
          <w:lang w:eastAsia="zh-CN"/>
        </w:rPr>
        <w:t>（</w:t>
      </w:r>
      <w:r>
        <w:rPr>
          <w:rFonts w:hint="eastAsia" w:ascii="宋体" w:hAnsi="宋体" w:eastAsia="宋体" w:cs="宋体"/>
          <w:color w:val="auto"/>
        </w:rPr>
        <w:t>含中国人民武装警察部队</w:t>
      </w:r>
      <w:r>
        <w:rPr>
          <w:rFonts w:hint="eastAsia" w:ascii="宋体" w:hAnsi="宋体" w:eastAsia="宋体" w:cs="宋体"/>
          <w:color w:val="auto"/>
          <w:lang w:eastAsia="zh-CN"/>
        </w:rPr>
        <w:t>）</w:t>
      </w:r>
      <w:r>
        <w:rPr>
          <w:rFonts w:hint="eastAsia" w:ascii="宋体" w:hAnsi="宋体" w:eastAsia="宋体" w:cs="宋体"/>
          <w:color w:val="auto"/>
        </w:rPr>
        <w:t>,保留学籍至退役后2年。</w:t>
      </w:r>
    </w:p>
    <w:p w14:paraId="33705EC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学生参加学校组织的跨校联合培养项目，在联合培养学校学习期间，学校同时为其保留学籍。</w:t>
      </w:r>
    </w:p>
    <w:p w14:paraId="4B1397C0">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学生保留学籍期间，与其实际所在的部队、学校等组织建立管理关系。</w:t>
      </w:r>
    </w:p>
    <w:p w14:paraId="79352D2A">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第四十一条</w:t>
      </w:r>
      <w:r>
        <w:rPr>
          <w:rFonts w:hint="eastAsia" w:ascii="宋体" w:hAnsi="宋体" w:eastAsia="宋体" w:cs="宋体"/>
          <w:color w:val="auto"/>
        </w:rPr>
        <w:t xml:space="preserve">  下列情况之一者，应予休学：</w:t>
      </w:r>
    </w:p>
    <w:p w14:paraId="4A92FD65">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因伤、病经指定医院诊断，须停课治疗、休养的时间占一学期总学时三分之一以上者；</w:t>
      </w:r>
    </w:p>
    <w:p w14:paraId="311562A3">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因创办企业或其它特殊原因需暂时中断学业者；</w:t>
      </w:r>
    </w:p>
    <w:p w14:paraId="6D1B8703">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因私出国(境)留学者；</w:t>
      </w:r>
    </w:p>
    <w:p w14:paraId="55A869E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rPr>
        <w:t>学校认为应当休学者。</w:t>
      </w:r>
    </w:p>
    <w:p w14:paraId="4FB2DBD6">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第四十二条</w:t>
      </w:r>
      <w:r>
        <w:rPr>
          <w:rFonts w:hint="eastAsia" w:ascii="宋体" w:hAnsi="宋体" w:eastAsia="宋体" w:cs="宋体"/>
          <w:color w:val="auto"/>
        </w:rPr>
        <w:t xml:space="preserve">  因伤、病申请休学的学生，应由本人(家长或监护人)提出，并经学校指定医院诊断证明，经校门诊部签署意见，学院同意，学生处会同教务处审核，由校长专题办公会研究决定。学校认为应当休学的，可由学生所在学院提出意见并附相关证明材料，学生处会同教务处审核，由校长专题办公会讨论审议，报校长办公会研究决定。</w:t>
      </w:r>
    </w:p>
    <w:p w14:paraId="6482FE80">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因其他原因申请休学的学生在征得家长或监护人同意后，应由本人提出申请，并附合法的证明或证据材料，经学院同意，学生处会同教务处审核，由校长专题办公会研究决定。</w:t>
      </w:r>
    </w:p>
    <w:p w14:paraId="252AA91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学生休学以一学期为期，累计不得超过四学期。学期结束前开始休学者，该学期按休学处理。学期第八周后，原则上不再受理休学；第八周后因病申请休学，原则上以两学期为期</w:t>
      </w:r>
      <w:r>
        <w:rPr>
          <w:rFonts w:hint="eastAsia" w:ascii="宋体" w:hAnsi="宋体" w:eastAsia="宋体" w:cs="宋体"/>
          <w:color w:val="auto"/>
          <w:lang w:eastAsia="zh-CN"/>
        </w:rPr>
        <w:t>（</w:t>
      </w:r>
      <w:r>
        <w:rPr>
          <w:rFonts w:hint="eastAsia" w:ascii="宋体" w:hAnsi="宋体" w:eastAsia="宋体" w:cs="宋体"/>
          <w:color w:val="auto"/>
        </w:rPr>
        <w:t>申请休学的当学期和下一学期</w:t>
      </w:r>
      <w:r>
        <w:rPr>
          <w:rFonts w:hint="eastAsia" w:ascii="宋体" w:hAnsi="宋体" w:eastAsia="宋体" w:cs="宋体"/>
          <w:color w:val="auto"/>
          <w:lang w:eastAsia="zh-CN"/>
        </w:rPr>
        <w:t>）</w:t>
      </w:r>
      <w:r>
        <w:rPr>
          <w:rFonts w:hint="eastAsia" w:ascii="宋体" w:hAnsi="宋体" w:eastAsia="宋体" w:cs="宋体"/>
          <w:color w:val="auto"/>
        </w:rPr>
        <w:t>。因创业休学学生，如因创业需要，经过学生申请，学校审核同意，可以延长休学期限和本科阶段全学程学习年限。</w:t>
      </w:r>
    </w:p>
    <w:p w14:paraId="6F021878">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 xml:space="preserve">第四十三条 </w:t>
      </w:r>
      <w:r>
        <w:rPr>
          <w:rFonts w:hint="eastAsia" w:ascii="宋体" w:hAnsi="宋体" w:eastAsia="宋体" w:cs="宋体"/>
          <w:color w:val="auto"/>
        </w:rPr>
        <w:t xml:space="preserve"> 休学学生按下列规定办理：</w:t>
      </w:r>
    </w:p>
    <w:p w14:paraId="53EE8F17">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休学学生按规定办理休学离校手续，学校保留其学籍，但不享受在校学习学生待遇。因病休学学生的医疗费按国家及上海市有关规定处理。</w:t>
      </w:r>
    </w:p>
    <w:p w14:paraId="5BB93B22">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第四十四条</w:t>
      </w:r>
      <w:r>
        <w:rPr>
          <w:rFonts w:hint="eastAsia" w:ascii="宋体" w:hAnsi="宋体" w:eastAsia="宋体" w:cs="宋体"/>
          <w:color w:val="auto"/>
        </w:rPr>
        <w:t xml:space="preserve">  学生复学按下列规定办理：</w:t>
      </w:r>
    </w:p>
    <w:p w14:paraId="6FCD8D10">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因伤、病休学的学生，申请复学时须持学校指定医院出具的恢复健康的证明，并经学校门诊部签署同意，方可复学；</w:t>
      </w:r>
    </w:p>
    <w:p w14:paraId="32D8BB62">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学生应于休学期满前一个月持有关证明材料，向学校提出复学申请，经批准后编入原专业适当年级。因特殊原因确需提前复学者，经学校同意后</w:t>
      </w:r>
      <w:r>
        <w:rPr>
          <w:rFonts w:hint="eastAsia" w:ascii="宋体" w:hAnsi="宋体" w:eastAsia="宋体" w:cs="宋体"/>
          <w:color w:val="auto"/>
          <w:lang w:eastAsia="zh-CN"/>
        </w:rPr>
        <w:t>，</w:t>
      </w:r>
      <w:r>
        <w:rPr>
          <w:rFonts w:hint="eastAsia" w:ascii="宋体" w:hAnsi="宋体" w:eastAsia="宋体" w:cs="宋体"/>
          <w:color w:val="auto"/>
        </w:rPr>
        <w:t>按复学相关规定办理；</w:t>
      </w:r>
    </w:p>
    <w:p w14:paraId="3970F5F6">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要求复学的学生，须向学校提供休学期间的表现证明，以供复核。对在休学期间有严重违法违纪行为者，取消其复学资格。</w:t>
      </w:r>
    </w:p>
    <w:p w14:paraId="7F7F1D63">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 xml:space="preserve">第四十五条 </w:t>
      </w:r>
      <w:r>
        <w:rPr>
          <w:rFonts w:hint="eastAsia" w:ascii="宋体" w:hAnsi="宋体" w:eastAsia="宋体" w:cs="宋体"/>
          <w:color w:val="auto"/>
        </w:rPr>
        <w:t xml:space="preserve"> 保留学籍学生按下列规定办理：</w:t>
      </w:r>
    </w:p>
    <w:p w14:paraId="2544C31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保留学籍学生按规定办理离校手续，不享受在校学习学生待遇。医疗费按国家及上海市有关规定处理。</w:t>
      </w:r>
    </w:p>
    <w:p w14:paraId="20036265">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复学按下列规定办理：</w:t>
      </w:r>
    </w:p>
    <w:p w14:paraId="35BA2D71">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学生应于保留学籍期满前一个月持有关证明材料，向学校提出复学申请，经批准后编入原专业适当年级。因特殊原因 确需提前复学者，经学校同意后，按复学相关规定办理；</w:t>
      </w:r>
    </w:p>
    <w:p w14:paraId="1ABE2B2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要求复学的学生，在保留学籍期间有严重违法违纪行为者，取消其复学资格。</w:t>
      </w:r>
    </w:p>
    <w:p w14:paraId="7D1A7A15">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第九章  学业警告、试读与退学</w:t>
      </w:r>
    </w:p>
    <w:p w14:paraId="49A94381">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第四十六条</w:t>
      </w:r>
      <w:r>
        <w:rPr>
          <w:rFonts w:hint="eastAsia" w:ascii="宋体" w:hAnsi="宋体" w:eastAsia="宋体" w:cs="宋体"/>
          <w:color w:val="auto"/>
        </w:rPr>
        <w:t xml:space="preserve">  在第一至六学期中的任一个学期，所选的课程 (包括重修课程)经考核(包括补考)后未取得其中二分之一学分者，予以学业警告；学业警告累计两次者予以试读。</w:t>
      </w:r>
    </w:p>
    <w:p w14:paraId="70BEF794">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lang w:eastAsia="zh-CN"/>
        </w:rPr>
      </w:pPr>
      <w:r>
        <w:rPr>
          <w:rFonts w:hint="eastAsia" w:ascii="黑体" w:hAnsi="黑体" w:eastAsia="黑体" w:cs="黑体"/>
          <w:snapToGrid w:val="0"/>
          <w:color w:val="auto"/>
          <w:spacing w:val="-1"/>
          <w:kern w:val="0"/>
          <w:sz w:val="21"/>
          <w:szCs w:val="21"/>
          <w:lang w:val="en-US" w:eastAsia="en-US" w:bidi="ar-SA"/>
        </w:rPr>
        <w:t>第四十七条</w:t>
      </w:r>
      <w:r>
        <w:rPr>
          <w:rFonts w:hint="eastAsia" w:ascii="宋体" w:hAnsi="宋体" w:eastAsia="宋体" w:cs="宋体"/>
          <w:color w:val="auto"/>
        </w:rPr>
        <w:t xml:space="preserve">  试读期为一年。试读期内，学生选课受限，原则上仅允许选修或重修截至试读前按教学计划未获得学分的课程，每学期总学分不大于30。学院根据专业培养方案和学生情况，确定其试读期内修读计划。试读期满</w:t>
      </w:r>
      <w:r>
        <w:rPr>
          <w:rFonts w:hint="eastAsia" w:ascii="宋体" w:hAnsi="宋体" w:eastAsia="宋体" w:cs="宋体"/>
          <w:color w:val="auto"/>
          <w:lang w:eastAsia="zh-CN"/>
        </w:rPr>
        <w:t>，</w:t>
      </w:r>
      <w:r>
        <w:rPr>
          <w:rFonts w:hint="eastAsia" w:ascii="宋体" w:hAnsi="宋体" w:eastAsia="宋体" w:cs="宋体"/>
          <w:color w:val="auto"/>
        </w:rPr>
        <w:t>对试读一年期内所选课程学分修获达70%及以上者，解除试读。具体操作参照《上海海洋大学本科生学业警告、试读实施细则》</w:t>
      </w:r>
      <w:r>
        <w:rPr>
          <w:rFonts w:hint="eastAsia" w:ascii="宋体" w:hAnsi="宋体" w:eastAsia="宋体" w:cs="宋体"/>
          <w:color w:val="auto"/>
          <w:lang w:eastAsia="zh-CN"/>
        </w:rPr>
        <w:t>。</w:t>
      </w:r>
    </w:p>
    <w:p w14:paraId="3AF6991B">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第四十八条</w:t>
      </w:r>
      <w:r>
        <w:rPr>
          <w:rFonts w:hint="eastAsia" w:ascii="宋体" w:hAnsi="宋体" w:eastAsia="宋体" w:cs="宋体"/>
          <w:color w:val="auto"/>
        </w:rPr>
        <w:t xml:space="preserve">  学生有下列情形之一，应予退学：</w:t>
      </w:r>
    </w:p>
    <w:p w14:paraId="11CC3874">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试读学生试读期满，未达到本条例第四十七条解除试读条件者；</w:t>
      </w:r>
    </w:p>
    <w:p w14:paraId="6618F8E2">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休学、保留学籍期满，在学校规定期限内未提出复学申请或者申请经复查不合格者；</w:t>
      </w:r>
    </w:p>
    <w:p w14:paraId="137B9938">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未经批准连续两周未参加学校规定的教学活动者；</w:t>
      </w:r>
    </w:p>
    <w:p w14:paraId="21D74B06">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rPr>
        <w:t>超过学校规定期限未注册而又未履行暂缓注册手续的；</w:t>
      </w:r>
    </w:p>
    <w:p w14:paraId="4B7B1FB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五）</w:t>
      </w:r>
      <w:r>
        <w:rPr>
          <w:rFonts w:hint="eastAsia" w:ascii="宋体" w:hAnsi="宋体" w:eastAsia="宋体" w:cs="宋体"/>
          <w:color w:val="auto"/>
        </w:rPr>
        <w:t>经学校指定医院诊断，患有疾病或者意外伤残不能继续在校学习者；</w:t>
      </w:r>
    </w:p>
    <w:p w14:paraId="3FD4C947">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第四十九条</w:t>
      </w:r>
      <w:r>
        <w:rPr>
          <w:rFonts w:hint="eastAsia" w:ascii="宋体" w:hAnsi="宋体" w:eastAsia="宋体" w:cs="宋体"/>
          <w:color w:val="auto"/>
        </w:rPr>
        <w:t xml:space="preserve">  对符合第四十八条应予退学的，由相关部门会同学院提出处理意见，学生处负责审核，校长专题办公会讨论审议，校长办公会研究决定。本人征得家长或监护人同意后，主动申请退学的学生，由相关部门会同学院提出处理意见，学生处负责审核，校长专题办公会研究决定。</w:t>
      </w:r>
    </w:p>
    <w:p w14:paraId="6CA2B9CA">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学生退学后的有关事项按下列规定办理：</w:t>
      </w:r>
    </w:p>
    <w:p w14:paraId="141327A3">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rPr>
        <w:t>对退学的学生，由学校出具退学决定书并送交本人，如因客观因素难以送达学生本人的国际学生，可将扫描件发至学 生注册时所登记的邮箱，发出后则视为送达学生本人，同时注销学籍，报上海市教育委员会备案；</w:t>
      </w:r>
    </w:p>
    <w:p w14:paraId="390CC3EC">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rPr>
        <w:t>退学学生必须在接到通知之日起十日内办理离校手续。档案退回其家庭所在地，户口按照国家相关规定迁回原户籍 所在地或者家庭户籍所在地；</w:t>
      </w:r>
    </w:p>
    <w:p w14:paraId="3091D53A">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三）</w:t>
      </w:r>
      <w:r>
        <w:rPr>
          <w:rFonts w:hint="eastAsia" w:ascii="宋体" w:hAnsi="宋体" w:eastAsia="宋体" w:cs="宋体"/>
          <w:color w:val="auto"/>
        </w:rPr>
        <w:t>经诊断患有疾病或者意外伤残无法继续在校学习者</w:t>
      </w:r>
      <w:r>
        <w:rPr>
          <w:rFonts w:hint="eastAsia" w:ascii="宋体" w:hAnsi="宋体" w:eastAsia="宋体" w:cs="宋体"/>
          <w:color w:val="auto"/>
          <w:lang w:eastAsia="zh-CN"/>
        </w:rPr>
        <w:t>，</w:t>
      </w:r>
      <w:r>
        <w:rPr>
          <w:rFonts w:hint="eastAsia" w:ascii="宋体" w:hAnsi="宋体" w:eastAsia="宋体" w:cs="宋体"/>
          <w:color w:val="auto"/>
        </w:rPr>
        <w:t>由家长或监护人办理退学手续；</w:t>
      </w:r>
    </w:p>
    <w:p w14:paraId="0A9655E3">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四）</w:t>
      </w:r>
      <w:r>
        <w:rPr>
          <w:rFonts w:hint="eastAsia" w:ascii="宋体" w:hAnsi="宋体" w:eastAsia="宋体" w:cs="宋体"/>
          <w:color w:val="auto"/>
        </w:rPr>
        <w:t>退学学生发给退学证明，并根据学习年限核发肄业证书</w:t>
      </w:r>
      <w:r>
        <w:rPr>
          <w:rFonts w:hint="eastAsia" w:ascii="宋体" w:hAnsi="宋体" w:eastAsia="宋体" w:cs="宋体"/>
          <w:color w:val="auto"/>
          <w:lang w:eastAsia="zh-CN"/>
        </w:rPr>
        <w:t>（</w:t>
      </w:r>
      <w:r>
        <w:rPr>
          <w:rFonts w:hint="eastAsia" w:ascii="宋体" w:hAnsi="宋体" w:eastAsia="宋体" w:cs="宋体"/>
          <w:color w:val="auto"/>
        </w:rPr>
        <w:t>至少学满一年</w:t>
      </w:r>
      <w:r>
        <w:rPr>
          <w:rFonts w:hint="eastAsia" w:ascii="宋体" w:hAnsi="宋体" w:eastAsia="宋体" w:cs="宋体"/>
          <w:color w:val="auto"/>
          <w:lang w:eastAsia="zh-CN"/>
        </w:rPr>
        <w:t>）</w:t>
      </w:r>
      <w:r>
        <w:rPr>
          <w:rFonts w:hint="eastAsia" w:ascii="宋体" w:hAnsi="宋体" w:eastAsia="宋体" w:cs="宋体"/>
          <w:color w:val="auto"/>
        </w:rPr>
        <w:t>;</w:t>
      </w:r>
    </w:p>
    <w:p w14:paraId="60C0780D">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五）</w:t>
      </w:r>
      <w:r>
        <w:rPr>
          <w:rFonts w:hint="eastAsia" w:ascii="宋体" w:hAnsi="宋体" w:eastAsia="宋体" w:cs="宋体"/>
          <w:color w:val="auto"/>
        </w:rPr>
        <w:t>学校为退学学生保留已修课程记录，包含成绩与学分。学生10年内重新参加入学考试、符合录取条件，再次入学的，其已获得学分，由新录取专业根据教学计划认定。符合度高的课程可直接认定，符合度低的课程可以认定为专业选修或综合素质选修学分。</w:t>
      </w:r>
    </w:p>
    <w:p w14:paraId="06B9E576">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第五十一条</w:t>
      </w:r>
      <w:r>
        <w:rPr>
          <w:rFonts w:hint="eastAsia" w:ascii="宋体" w:hAnsi="宋体" w:eastAsia="宋体" w:cs="宋体"/>
          <w:color w:val="auto"/>
        </w:rPr>
        <w:t xml:space="preserve">  本章规定的学业警告、试读和退学处理是学籍管理行为。</w:t>
      </w:r>
    </w:p>
    <w:p w14:paraId="5FAC83AC">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第十章  毕业与结业</w:t>
      </w:r>
    </w:p>
    <w:p w14:paraId="2500582C">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第五十二条</w:t>
      </w:r>
      <w:r>
        <w:rPr>
          <w:rFonts w:hint="eastAsia" w:ascii="黑体" w:hAnsi="黑体" w:eastAsia="黑体" w:cs="黑体"/>
          <w:snapToGrid w:val="0"/>
          <w:color w:val="auto"/>
          <w:spacing w:val="-1"/>
          <w:kern w:val="0"/>
          <w:sz w:val="21"/>
          <w:szCs w:val="21"/>
          <w:lang w:val="en-US" w:eastAsia="zh-CN" w:bidi="ar-SA"/>
        </w:rPr>
        <w:t xml:space="preserve">  </w:t>
      </w:r>
      <w:r>
        <w:rPr>
          <w:rFonts w:hint="eastAsia" w:ascii="宋体" w:hAnsi="宋体" w:eastAsia="宋体" w:cs="宋体"/>
          <w:color w:val="auto"/>
        </w:rPr>
        <w:t>学生在学校规定年限内，修完教育教学计划规定内容，成绩合格，达到毕业要求，准予毕业，由学校发给毕业证书。符合</w:t>
      </w:r>
      <w:r>
        <w:rPr>
          <w:rFonts w:hint="eastAsia" w:ascii="宋体" w:hAnsi="宋体" w:eastAsia="宋体" w:cs="宋体"/>
          <w:color w:val="auto"/>
          <w:lang w:eastAsia="zh-CN"/>
        </w:rPr>
        <w:t>《</w:t>
      </w:r>
      <w:r>
        <w:rPr>
          <w:rFonts w:hint="eastAsia" w:ascii="宋体" w:hAnsi="宋体" w:eastAsia="宋体" w:cs="宋体"/>
          <w:color w:val="auto"/>
        </w:rPr>
        <w:t>上海海洋大学学士学位授予工作细则》中各项规定者，授予学士学位，发给学士学位证书。</w:t>
      </w:r>
    </w:p>
    <w:p w14:paraId="29B33713">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学生提前完成教育教学计划规定内容，获得毕业所要求的学分，可以申请提前毕业，具体操作参照《上海海洋大学本科生提前毕业实施细则》。</w:t>
      </w:r>
    </w:p>
    <w:p w14:paraId="55F23666">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第五十三条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由本人申请，列入当年毕业生计划，经审核未能取得教学计划规定的全部学分者，准予结业，学校发给结业证书。结业学生可在规定的学习年限内申请修读相关课程，达到毕业要求后，本人可申请以结业证书换发毕业证书。学校根据学位授予条例授予学士学位。证书的落款日期为发证日期。逾期仍未及格者以后不得再申请重修，维持结业。</w:t>
      </w:r>
    </w:p>
    <w:p w14:paraId="124E3B5E">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第五十四条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对学满一学年以上的退学学生，学校发给肄业证书。</w:t>
      </w:r>
    </w:p>
    <w:p w14:paraId="5B4345C1">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第十一章  学业证书管理</w:t>
      </w:r>
    </w:p>
    <w:p w14:paraId="150A4A27">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第五十五条</w:t>
      </w:r>
      <w:r>
        <w:rPr>
          <w:rFonts w:hint="eastAsia" w:ascii="宋体" w:hAnsi="宋体" w:eastAsia="宋体" w:cs="宋体"/>
          <w:color w:val="auto"/>
        </w:rPr>
        <w:t xml:space="preserve">  学校严格按照招生时确定的办学类型和学习形式，以及学生招生录取时填报的个人信息，填写、颁发学历证书、学位证书及其他学业证书。</w:t>
      </w:r>
    </w:p>
    <w:p w14:paraId="6A05F011">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第五十六条</w:t>
      </w:r>
      <w:r>
        <w:rPr>
          <w:rFonts w:hint="eastAsia" w:ascii="宋体" w:hAnsi="宋体" w:eastAsia="宋体" w:cs="宋体"/>
          <w:color w:val="auto"/>
        </w:rPr>
        <w:t xml:space="preserve">  学生在校期间变更姓名、出生日期等证书需填写的个人信息的，应当有合理、充分的理由，并提供有法定效力 的相应证明文件。</w:t>
      </w:r>
    </w:p>
    <w:p w14:paraId="3090A8FF">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第五十七条</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学校执行高等教育学籍学历电子注册管理制度， 按相关规定及时完成学生学籍学历电子注册。</w:t>
      </w:r>
    </w:p>
    <w:p w14:paraId="250DB356">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第</w:t>
      </w:r>
      <w:r>
        <w:rPr>
          <w:rFonts w:hint="eastAsia" w:ascii="黑体" w:hAnsi="黑体" w:eastAsia="黑体" w:cs="黑体"/>
          <w:snapToGrid w:val="0"/>
          <w:color w:val="auto"/>
          <w:spacing w:val="-1"/>
          <w:kern w:val="0"/>
          <w:sz w:val="21"/>
          <w:szCs w:val="21"/>
          <w:lang w:val="en-US" w:eastAsia="en-US" w:bidi="ar-SA"/>
        </w:rPr>
        <w:t>五十八条</w:t>
      </w:r>
      <w:r>
        <w:rPr>
          <w:rFonts w:hint="eastAsia" w:ascii="宋体" w:hAnsi="宋体" w:eastAsia="宋体" w:cs="宋体"/>
          <w:color w:val="auto"/>
        </w:rPr>
        <w:t xml:space="preserve">  对完成本专业学业同时辅修其他专业并达到该专业辅修要求的学生，毕业时在主修学士学位证书上注明辅修学士学位情况。</w:t>
      </w:r>
    </w:p>
    <w:p w14:paraId="43532244">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第五十九条</w:t>
      </w:r>
      <w:r>
        <w:rPr>
          <w:rFonts w:hint="eastAsia" w:ascii="宋体" w:hAnsi="宋体" w:eastAsia="宋体" w:cs="宋体"/>
          <w:color w:val="auto"/>
        </w:rPr>
        <w:t xml:space="preserve">  对违反国家招生规定取得入学资格或者学籍的，学校取消其学籍，不发学历证书、学位证书；已发的学历证书、</w:t>
      </w:r>
    </w:p>
    <w:p w14:paraId="049B0532">
      <w:pPr>
        <w:keepNext w:val="0"/>
        <w:keepLines w:val="0"/>
        <w:pageBreakBefore w:val="0"/>
        <w:widowControl w:val="0"/>
        <w:kinsoku/>
        <w:wordWrap/>
        <w:overflowPunct/>
        <w:topLinePunct w:val="0"/>
        <w:autoSpaceDE/>
        <w:autoSpaceDN/>
        <w:bidi w:val="0"/>
        <w:adjustRightInd/>
        <w:snapToGrid/>
        <w:spacing w:line="296" w:lineRule="auto"/>
        <w:ind w:right="130" w:firstLine="420" w:firstLineChars="200"/>
        <w:textAlignment w:val="auto"/>
        <w:rPr>
          <w:rFonts w:hint="eastAsia" w:ascii="宋体" w:hAnsi="宋体" w:eastAsia="宋体" w:cs="宋体"/>
          <w:color w:val="auto"/>
        </w:rPr>
      </w:pPr>
      <w:r>
        <w:rPr>
          <w:rFonts w:hint="eastAsia" w:ascii="宋体" w:hAnsi="宋体" w:eastAsia="宋体" w:cs="宋体"/>
          <w:color w:val="auto"/>
        </w:rPr>
        <w:t>学位证书，学校依法予以撤销。对以作弊、剽窃、抄袭等学术不端行为或者其他不正当手段获得学历证书、学位证书的，学校依法予以撤销。</w:t>
      </w:r>
    </w:p>
    <w:p w14:paraId="0AE62390">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第六十条</w:t>
      </w:r>
      <w:r>
        <w:rPr>
          <w:rFonts w:hint="eastAsia" w:ascii="宋体" w:hAnsi="宋体" w:eastAsia="宋体" w:cs="宋体"/>
          <w:color w:val="auto"/>
        </w:rPr>
        <w:t xml:space="preserve">  被撤销的学历证书、学位证书已注册的，学校予以注销并报上海市教育委员会宣布无效。</w:t>
      </w:r>
    </w:p>
    <w:p w14:paraId="0A95E487">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第六十一条</w:t>
      </w:r>
      <w:r>
        <w:rPr>
          <w:rFonts w:hint="eastAsia" w:ascii="宋体" w:hAnsi="宋体" w:eastAsia="宋体" w:cs="宋体"/>
          <w:color w:val="auto"/>
        </w:rPr>
        <w:t xml:space="preserve">  无论何种原因，学历证书和学位证书遗失或者损坏一律不予补发，经本人申请，教务处核实后出具相应的证明书。证明书与原证书具有同等效力。</w:t>
      </w:r>
    </w:p>
    <w:p w14:paraId="46B6A1F4">
      <w:pPr>
        <w:keepNext w:val="0"/>
        <w:keepLines w:val="0"/>
        <w:pageBreakBefore w:val="0"/>
        <w:widowControl/>
        <w:kinsoku w:val="0"/>
        <w:wordWrap/>
        <w:overflowPunct/>
        <w:topLinePunct w:val="0"/>
        <w:autoSpaceDE w:val="0"/>
        <w:autoSpaceDN w:val="0"/>
        <w:bidi w:val="0"/>
        <w:adjustRightInd w:val="0"/>
        <w:snapToGrid w:val="0"/>
        <w:spacing w:before="188" w:line="221" w:lineRule="auto"/>
        <w:jc w:val="center"/>
        <w:textAlignment w:val="baseline"/>
        <w:rPr>
          <w:rFonts w:hint="eastAsia" w:ascii="黑体" w:hAnsi="黑体" w:eastAsia="黑体" w:cs="黑体"/>
          <w:b/>
          <w:bCs/>
          <w:snapToGrid w:val="0"/>
          <w:color w:val="auto"/>
          <w:spacing w:val="4"/>
          <w:kern w:val="0"/>
          <w:sz w:val="20"/>
          <w:szCs w:val="20"/>
          <w:lang w:eastAsia="en-US"/>
        </w:rPr>
      </w:pPr>
      <w:r>
        <w:rPr>
          <w:rFonts w:hint="eastAsia" w:ascii="黑体" w:hAnsi="黑体" w:eastAsia="黑体" w:cs="黑体"/>
          <w:b/>
          <w:bCs/>
          <w:snapToGrid w:val="0"/>
          <w:color w:val="auto"/>
          <w:spacing w:val="4"/>
          <w:kern w:val="0"/>
          <w:sz w:val="20"/>
          <w:szCs w:val="20"/>
          <w:lang w:eastAsia="en-US"/>
        </w:rPr>
        <w:t>第十二章  附  则</w:t>
      </w:r>
    </w:p>
    <w:p w14:paraId="790C3417">
      <w:pPr>
        <w:keepNext w:val="0"/>
        <w:keepLines w:val="0"/>
        <w:pageBreakBefore w:val="0"/>
        <w:widowControl w:val="0"/>
        <w:kinsoku/>
        <w:wordWrap/>
        <w:overflowPunct/>
        <w:topLinePunct w:val="0"/>
        <w:autoSpaceDE/>
        <w:autoSpaceDN/>
        <w:bidi w:val="0"/>
        <w:adjustRightInd/>
        <w:snapToGrid/>
        <w:spacing w:before="215"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第六十二条</w:t>
      </w:r>
      <w:r>
        <w:rPr>
          <w:rFonts w:hint="eastAsia" w:ascii="黑体" w:hAnsi="黑体" w:eastAsia="黑体" w:cs="黑体"/>
          <w:snapToGrid w:val="0"/>
          <w:color w:val="auto"/>
          <w:spacing w:val="-1"/>
          <w:kern w:val="0"/>
          <w:sz w:val="21"/>
          <w:szCs w:val="21"/>
          <w:lang w:val="en-US" w:eastAsia="zh-CN" w:bidi="ar-SA"/>
        </w:rPr>
        <w:t xml:space="preserve">  </w:t>
      </w:r>
      <w:r>
        <w:rPr>
          <w:rFonts w:hint="eastAsia" w:ascii="宋体" w:hAnsi="宋体" w:eastAsia="宋体" w:cs="宋体"/>
          <w:color w:val="auto"/>
        </w:rPr>
        <w:t>本条例自2022年9月1日起实施。</w:t>
      </w:r>
    </w:p>
    <w:p w14:paraId="46884F66">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第六十三条</w:t>
      </w:r>
      <w:r>
        <w:rPr>
          <w:rFonts w:hint="eastAsia" w:ascii="宋体" w:hAnsi="宋体" w:eastAsia="宋体" w:cs="宋体"/>
          <w:color w:val="auto"/>
        </w:rPr>
        <w:t xml:space="preserve">  中国政府奖学金的国际学生涉及到本条例的相关事项，需符合《中国政府奖学金管理办法》及相关实施细则的要求。</w:t>
      </w:r>
    </w:p>
    <w:p w14:paraId="576A6E4C">
      <w:pPr>
        <w:keepNext w:val="0"/>
        <w:keepLines w:val="0"/>
        <w:pageBreakBefore w:val="0"/>
        <w:widowControl w:val="0"/>
        <w:kinsoku/>
        <w:wordWrap/>
        <w:overflowPunct/>
        <w:topLinePunct w:val="0"/>
        <w:autoSpaceDE/>
        <w:autoSpaceDN/>
        <w:bidi w:val="0"/>
        <w:adjustRightInd/>
        <w:snapToGrid/>
        <w:spacing w:line="296" w:lineRule="auto"/>
        <w:ind w:right="130" w:firstLine="416" w:firstLineChars="200"/>
        <w:textAlignment w:val="auto"/>
        <w:rPr>
          <w:rFonts w:hint="eastAsia" w:ascii="宋体" w:hAnsi="宋体" w:eastAsia="宋体" w:cs="宋体"/>
          <w:color w:val="auto"/>
        </w:rPr>
      </w:pPr>
      <w:r>
        <w:rPr>
          <w:rFonts w:hint="eastAsia" w:ascii="黑体" w:hAnsi="黑体" w:eastAsia="黑体" w:cs="黑体"/>
          <w:snapToGrid w:val="0"/>
          <w:color w:val="auto"/>
          <w:spacing w:val="-1"/>
          <w:kern w:val="0"/>
          <w:sz w:val="21"/>
          <w:szCs w:val="21"/>
          <w:lang w:val="en-US" w:eastAsia="en-US" w:bidi="ar-SA"/>
        </w:rPr>
        <w:t>第六十四条</w:t>
      </w:r>
      <w:r>
        <w:rPr>
          <w:rFonts w:hint="eastAsia" w:ascii="黑体" w:hAnsi="黑体" w:eastAsia="黑体" w:cs="黑体"/>
          <w:snapToGrid w:val="0"/>
          <w:color w:val="auto"/>
          <w:spacing w:val="-1"/>
          <w:kern w:val="0"/>
          <w:sz w:val="21"/>
          <w:szCs w:val="21"/>
          <w:lang w:val="en-US" w:eastAsia="zh-CN" w:bidi="ar-SA"/>
        </w:rPr>
        <w:t xml:space="preserve">  </w:t>
      </w:r>
      <w:r>
        <w:rPr>
          <w:rFonts w:hint="eastAsia" w:ascii="宋体" w:hAnsi="宋体" w:eastAsia="宋体" w:cs="宋体"/>
          <w:color w:val="auto"/>
        </w:rPr>
        <w:t>本条例由校长授权教务处负责解释并组织实施。 凡与本条例相抵触之条文均以本条例为准；凡本条例未尽事宜，均按上级教育主管部门的有关规定执行。</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54DE9"/>
    <w:rsid w:val="0591023E"/>
    <w:rsid w:val="0D936C3C"/>
    <w:rsid w:val="16E04D2C"/>
    <w:rsid w:val="24EC0E92"/>
    <w:rsid w:val="2C974ACD"/>
    <w:rsid w:val="39196966"/>
    <w:rsid w:val="403F11FF"/>
    <w:rsid w:val="532E46CD"/>
    <w:rsid w:val="6FDD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customStyle="1" w:styleId="5">
    <w:name w:val="Table Text"/>
    <w:basedOn w:val="1"/>
    <w:semiHidden/>
    <w:qFormat/>
    <w:uiPriority w:val="0"/>
    <w:rPr>
      <w:rFonts w:ascii="宋体" w:hAnsi="宋体" w:eastAsia="宋体" w:cs="宋体"/>
      <w:sz w:val="18"/>
      <w:szCs w:val="1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8679</Words>
  <Characters>8774</Characters>
  <Lines>0</Lines>
  <Paragraphs>0</Paragraphs>
  <TotalTime>67</TotalTime>
  <ScaleCrop>false</ScaleCrop>
  <LinksUpToDate>false</LinksUpToDate>
  <CharactersWithSpaces>9028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2025-10-31T06:07:00Z</dcterms:created>
  <dc:creator>SHOU</dc:creator>
  <cp:lastModifiedBy>WPS_1630988782</cp:lastModifiedBy>
  <dcterms:modified xsi:type="dcterms:W3CDTF">2025-11-07T06:51:48Z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eyJoZGlkIjoiNmM2ZmZkYzUwMGI0ZjE3ZjA3YTAyYTdkMDdmYWE0YWQiLCJ1c2VySWQiOiIxMjYxMDYwMjU4In0=</vt:lpwstr>
  </property>
  <property fmtid="{D5CDD505-2E9C-101B-9397-08002B2CF9AE}" pid="4" name="ICV">
    <vt:lpwstr>EC0A0947EDCA4193A0BACF04D855063D</vt:lpwstr>
  </property>
</Properties>
</file>